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8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8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6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June 12, 2026</w:t>
      </w:r>
    </w:p>
    <w:p>
      <w:pPr>
        <w:spacing w:after="0" w:line="1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NATURAL GAS SERVICES GROUP, INC</w:t>
      </w:r>
      <w:r>
        <w:rPr>
          <w:rFonts w:ascii="Times New Roman" w:cs="Times New Roman" w:eastAsia="Times New Roman" w:hAnsi="Times New Roman"/>
          <w:sz w:val="21"/>
          <w:szCs w:val="21"/>
          <w:b w:val="1"/>
          <w:bCs w:val="1"/>
          <w:color w:val="auto"/>
        </w:rPr>
        <w:t>.</w:t>
      </w:r>
    </w:p>
    <w:p>
      <w:pPr>
        <w:spacing w:after="0" w:line="94" w:lineRule="exact"/>
        <w:rPr>
          <w:sz w:val="24"/>
          <w:szCs w:val="24"/>
          <w:color w:val="auto"/>
        </w:rPr>
      </w:pPr>
    </w:p>
    <w:tbl>
      <w:tblPr>
        <w:tblLayout w:type="fixed"/>
        <w:tblInd w:w="1440" w:type="dxa"/>
        <w:tblCellMar>
          <w:top w:w="0" w:type="dxa"/>
          <w:left w:w="0" w:type="dxa"/>
          <w:bottom w:w="0" w:type="dxa"/>
          <w:right w:w="0" w:type="dxa"/>
        </w:tblCellMar>
      </w:tblPr>
      <w:tr>
        <w:trPr>
          <w:trHeight w:val="155"/>
        </w:trPr>
        <w:tc>
          <w:tcPr>
            <w:tcW w:w="2100" w:type="dxa"/>
            <w:vAlign w:val="bottom"/>
          </w:tcPr>
          <w:p>
            <w:pPr>
              <w:spacing w:after="0"/>
              <w:rPr>
                <w:sz w:val="13"/>
                <w:szCs w:val="13"/>
                <w:color w:val="auto"/>
              </w:rPr>
            </w:pPr>
          </w:p>
        </w:tc>
        <w:tc>
          <w:tcPr>
            <w:tcW w:w="41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(Exact Name of Registrant as Specified in Charter)</w:t>
            </w:r>
          </w:p>
        </w:tc>
        <w:tc>
          <w:tcPr>
            <w:tcW w:w="2320" w:type="dxa"/>
            <w:vAlign w:val="bottom"/>
          </w:tcPr>
          <w:p>
            <w:pPr>
              <w:spacing w:after="0"/>
              <w:rPr>
                <w:sz w:val="13"/>
                <w:szCs w:val="13"/>
                <w:color w:val="auto"/>
              </w:rPr>
            </w:pPr>
          </w:p>
        </w:tc>
      </w:tr>
      <w:tr>
        <w:trPr>
          <w:trHeight w:val="171"/>
        </w:trPr>
        <w:tc>
          <w:tcPr>
            <w:tcW w:w="2100" w:type="dxa"/>
            <w:vAlign w:val="bottom"/>
          </w:tcPr>
          <w:p>
            <w:pPr>
              <w:jc w:val="center"/>
              <w:ind w:right="720"/>
              <w:spacing w:after="0"/>
              <w:rPr>
                <w:sz w:val="20"/>
                <w:szCs w:val="20"/>
                <w:color w:val="auto"/>
              </w:rPr>
            </w:pPr>
            <w:r>
              <w:rPr>
                <w:rFonts w:ascii="Times New Roman" w:cs="Times New Roman" w:eastAsia="Times New Roman" w:hAnsi="Times New Roman"/>
                <w:sz w:val="12"/>
                <w:szCs w:val="12"/>
                <w:b w:val="1"/>
                <w:bCs w:val="1"/>
                <w:color w:val="auto"/>
                <w:w w:val="99"/>
              </w:rPr>
              <w:t>Colorado</w:t>
            </w:r>
          </w:p>
        </w:tc>
        <w:tc>
          <w:tcPr>
            <w:tcW w:w="4120" w:type="dxa"/>
            <w:vAlign w:val="bottom"/>
          </w:tcPr>
          <w:p>
            <w:pPr>
              <w:jc w:val="right"/>
              <w:ind w:right="1780"/>
              <w:spacing w:after="0"/>
              <w:rPr>
                <w:sz w:val="20"/>
                <w:szCs w:val="20"/>
                <w:color w:val="auto"/>
              </w:rPr>
            </w:pPr>
            <w:r>
              <w:rPr>
                <w:rFonts w:ascii="Times New Roman" w:cs="Times New Roman" w:eastAsia="Times New Roman" w:hAnsi="Times New Roman"/>
                <w:sz w:val="12"/>
                <w:szCs w:val="12"/>
                <w:b w:val="1"/>
                <w:bCs w:val="1"/>
                <w:color w:val="auto"/>
              </w:rPr>
              <w:t>1-31398</w:t>
            </w:r>
          </w:p>
        </w:tc>
        <w:tc>
          <w:tcPr>
            <w:tcW w:w="232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75-2811855</w:t>
            </w:r>
          </w:p>
        </w:tc>
      </w:tr>
      <w:tr>
        <w:trPr>
          <w:trHeight w:val="169"/>
        </w:trPr>
        <w:tc>
          <w:tcPr>
            <w:tcW w:w="2100" w:type="dxa"/>
            <w:vAlign w:val="bottom"/>
          </w:tcPr>
          <w:p>
            <w:pPr>
              <w:jc w:val="center"/>
              <w:ind w:right="740"/>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41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82"/>
        </w:trPr>
        <w:tc>
          <w:tcPr>
            <w:tcW w:w="2100" w:type="dxa"/>
            <w:vAlign w:val="bottom"/>
          </w:tcPr>
          <w:p>
            <w:pPr>
              <w:jc w:val="center"/>
              <w:ind w:right="740"/>
              <w:spacing w:after="0"/>
              <w:rPr>
                <w:sz w:val="20"/>
                <w:szCs w:val="20"/>
                <w:color w:val="auto"/>
              </w:rPr>
            </w:pPr>
            <w:r>
              <w:rPr>
                <w:rFonts w:ascii="Times New Roman" w:cs="Times New Roman" w:eastAsia="Times New Roman" w:hAnsi="Times New Roman"/>
                <w:sz w:val="12"/>
                <w:szCs w:val="12"/>
                <w:color w:val="auto"/>
                <w:w w:val="99"/>
              </w:rPr>
              <w:t>of Incorporation)</w:t>
            </w:r>
          </w:p>
        </w:tc>
        <w:tc>
          <w:tcPr>
            <w:tcW w:w="4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320" w:type="dxa"/>
            <w:vAlign w:val="bottom"/>
          </w:tcPr>
          <w:p>
            <w:pPr>
              <w:jc w:val="center"/>
              <w:ind w:left="620"/>
              <w:spacing w:after="0"/>
              <w:rPr>
                <w:sz w:val="20"/>
                <w:szCs w:val="20"/>
                <w:color w:val="auto"/>
              </w:rPr>
            </w:pPr>
            <w:r>
              <w:rPr>
                <w:rFonts w:ascii="Times New Roman" w:cs="Times New Roman" w:eastAsia="Times New Roman" w:hAnsi="Times New Roman"/>
                <w:sz w:val="12"/>
                <w:szCs w:val="12"/>
                <w:color w:val="auto"/>
                <w:w w:val="99"/>
              </w:rPr>
              <w:t>(IRS Employer Identification No.)</w:t>
            </w:r>
          </w:p>
        </w:tc>
      </w:tr>
      <w:tr>
        <w:trPr>
          <w:trHeight w:val="261"/>
        </w:trPr>
        <w:tc>
          <w:tcPr>
            <w:tcW w:w="2100" w:type="dxa"/>
            <w:vAlign w:val="bottom"/>
          </w:tcPr>
          <w:p>
            <w:pPr>
              <w:spacing w:after="0"/>
              <w:rPr>
                <w:sz w:val="22"/>
                <w:szCs w:val="22"/>
                <w:color w:val="auto"/>
              </w:rPr>
            </w:pPr>
          </w:p>
        </w:tc>
        <w:tc>
          <w:tcPr>
            <w:tcW w:w="4120" w:type="dxa"/>
            <w:vAlign w:val="bottom"/>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rPr>
              <w:t>601 State Street, Suite 400</w:t>
            </w:r>
          </w:p>
        </w:tc>
        <w:tc>
          <w:tcPr>
            <w:tcW w:w="2320" w:type="dxa"/>
            <w:vAlign w:val="bottom"/>
          </w:tcPr>
          <w:p>
            <w:pPr>
              <w:spacing w:after="0"/>
              <w:rPr>
                <w:sz w:val="22"/>
                <w:szCs w:val="22"/>
                <w:color w:val="auto"/>
              </w:rPr>
            </w:pPr>
          </w:p>
        </w:tc>
      </w:tr>
      <w:tr>
        <w:trPr>
          <w:trHeight w:val="180"/>
        </w:trPr>
        <w:tc>
          <w:tcPr>
            <w:tcW w:w="2100" w:type="dxa"/>
            <w:vAlign w:val="bottom"/>
          </w:tcPr>
          <w:p>
            <w:pPr>
              <w:spacing w:after="0"/>
              <w:rPr>
                <w:sz w:val="15"/>
                <w:szCs w:val="15"/>
                <w:color w:val="auto"/>
              </w:rPr>
            </w:pPr>
          </w:p>
        </w:tc>
        <w:tc>
          <w:tcPr>
            <w:tcW w:w="412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Southlake, TX 76092</w:t>
            </w:r>
          </w:p>
        </w:tc>
        <w:tc>
          <w:tcPr>
            <w:tcW w:w="232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1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32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12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(432) 262-2700</w:t>
            </w:r>
          </w:p>
        </w:tc>
        <w:tc>
          <w:tcPr>
            <w:tcW w:w="232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12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9"/>
              </w:rPr>
              <w:t>(Registrant's Telephone Number, Including Area Code)</w:t>
            </w:r>
          </w:p>
        </w:tc>
        <w:tc>
          <w:tcPr>
            <w:tcW w:w="232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120" w:type="dxa"/>
            <w:vAlign w:val="bottom"/>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2320" w:type="dxa"/>
            <w:vAlign w:val="bottom"/>
          </w:tcPr>
          <w:p>
            <w:pPr>
              <w:spacing w:after="0"/>
              <w:rPr>
                <w:sz w:val="15"/>
                <w:szCs w:val="15"/>
                <w:color w:val="auto"/>
              </w:rPr>
            </w:pPr>
          </w:p>
        </w:tc>
      </w:tr>
    </w:tbl>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242" w:lineRule="exact"/>
        <w:rPr>
          <w:sz w:val="24"/>
          <w:szCs w:val="24"/>
          <w:color w:val="auto"/>
        </w:rPr>
      </w:pPr>
    </w:p>
    <w:p>
      <w:pPr>
        <w:ind w:left="560" w:hanging="136"/>
        <w:spacing w:after="0"/>
        <w:tabs>
          <w:tab w:leader="none" w:pos="5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40" w:lineRule="exact"/>
        <w:rPr>
          <w:rFonts w:ascii="MS PGothic" w:cs="MS PGothic" w:eastAsia="MS PGothic" w:hAnsi="MS PGothic"/>
          <w:sz w:val="12"/>
          <w:szCs w:val="12"/>
          <w:color w:val="auto"/>
        </w:rPr>
      </w:pPr>
    </w:p>
    <w:p>
      <w:pPr>
        <w:ind w:left="560" w:hanging="136"/>
        <w:spacing w:after="0"/>
        <w:tabs>
          <w:tab w:leader="none" w:pos="5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240" w:lineRule="exact"/>
        <w:rPr>
          <w:rFonts w:ascii="MS PGothic" w:cs="MS PGothic" w:eastAsia="MS PGothic" w:hAnsi="MS PGothic"/>
          <w:sz w:val="12"/>
          <w:szCs w:val="12"/>
          <w:color w:val="auto"/>
        </w:rPr>
      </w:pPr>
    </w:p>
    <w:p>
      <w:pPr>
        <w:ind w:left="560" w:hanging="136"/>
        <w:spacing w:after="0"/>
        <w:tabs>
          <w:tab w:leader="none" w:pos="5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240" w:lineRule="exact"/>
        <w:rPr>
          <w:rFonts w:ascii="MS PGothic" w:cs="MS PGothic" w:eastAsia="MS PGothic" w:hAnsi="MS PGothic"/>
          <w:sz w:val="12"/>
          <w:szCs w:val="12"/>
          <w:color w:val="auto"/>
        </w:rPr>
      </w:pPr>
    </w:p>
    <w:p>
      <w:pPr>
        <w:ind w:left="560" w:hanging="136"/>
        <w:spacing w:after="0"/>
        <w:tabs>
          <w:tab w:leader="none" w:pos="5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240.13e-14(c)).</w:t>
      </w:r>
    </w:p>
    <w:p>
      <w:pPr>
        <w:spacing w:after="0" w:line="71" w:lineRule="exact"/>
        <w:rPr>
          <w:sz w:val="24"/>
          <w:szCs w:val="24"/>
          <w:color w:val="auto"/>
        </w:rPr>
      </w:pPr>
    </w:p>
    <w:tbl>
      <w:tblPr>
        <w:tblLayout w:type="fixed"/>
        <w:tblInd w:w="420" w:type="dxa"/>
        <w:tblCellMar>
          <w:top w:w="0" w:type="dxa"/>
          <w:left w:w="0" w:type="dxa"/>
          <w:bottom w:w="0" w:type="dxa"/>
          <w:right w:w="0" w:type="dxa"/>
        </w:tblCellMar>
      </w:tblPr>
      <w:tr>
        <w:trPr>
          <w:trHeight w:val="14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60" w:type="dxa"/>
            <w:vAlign w:val="bottom"/>
          </w:tcPr>
          <w:p>
            <w:pPr>
              <w:spacing w:after="0"/>
              <w:rPr>
                <w:sz w:val="12"/>
                <w:szCs w:val="12"/>
                <w:color w:val="auto"/>
              </w:rPr>
            </w:pPr>
          </w:p>
        </w:tc>
      </w:tr>
      <w:tr>
        <w:trPr>
          <w:trHeight w:val="218"/>
        </w:trPr>
        <w:tc>
          <w:tcPr>
            <w:tcW w:w="3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Title of each class</w:t>
            </w:r>
          </w:p>
        </w:tc>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Trading Symbol</w:t>
            </w:r>
          </w:p>
        </w:tc>
        <w:tc>
          <w:tcPr>
            <w:tcW w:w="3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Name of each exchange on which registered</w:t>
            </w:r>
          </w:p>
        </w:tc>
      </w:tr>
      <w:tr>
        <w:trPr>
          <w:trHeight w:val="131"/>
        </w:trPr>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Common Stock, Par Value $0.01</w:t>
            </w:r>
          </w:p>
        </w:tc>
        <w:tc>
          <w:tcPr>
            <w:tcW w:w="80" w:type="dxa"/>
            <w:vAlign w:val="bottom"/>
          </w:tcPr>
          <w:p>
            <w:pPr>
              <w:spacing w:after="0"/>
              <w:rPr>
                <w:sz w:val="11"/>
                <w:szCs w:val="11"/>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NGS</w:t>
            </w:r>
          </w:p>
        </w:tc>
        <w:tc>
          <w:tcPr>
            <w:tcW w:w="80" w:type="dxa"/>
            <w:vAlign w:val="bottom"/>
          </w:tcPr>
          <w:p>
            <w:pPr>
              <w:spacing w:after="0"/>
              <w:rPr>
                <w:sz w:val="11"/>
                <w:szCs w:val="11"/>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NYSE</w:t>
            </w:r>
          </w:p>
        </w:tc>
      </w:tr>
    </w:tbl>
    <w:p>
      <w:pPr>
        <w:spacing w:after="0" w:line="200" w:lineRule="exact"/>
        <w:rPr>
          <w:sz w:val="24"/>
          <w:szCs w:val="24"/>
          <w:color w:val="auto"/>
        </w:rPr>
      </w:pPr>
    </w:p>
    <w:p>
      <w:pPr>
        <w:spacing w:after="0" w:line="315"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6"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361950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740"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212121"/>
        </w:rPr>
        <w:t>Item 1.01 Entry into a Material Definitive Agreement.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Flatrock Acquisition</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June 12, 2026, Natural Gas Services Group, Inc., a Colorado corporation (the “Company”), entered into a Securities Purchase Agreement (the “Purchase Agreement”) with Flatrock Compression Holdings LLC, a Delaware limited liability company (“Flatrock”), the holders of all of the membership interests of Flatrock (each, a “Seller” and, collectively, the “Sellers”), and Mule Deer Sky LLC, a Texas limited liability company, solely in its capacity as the Sellers Representative under the Purchase Agreement (the “Sellers Representative”). The transaction closed simultaneously with the execution of the Purchase Agreement on June 12, 2026.</w:t>
      </w:r>
    </w:p>
    <w:p>
      <w:pPr>
        <w:spacing w:after="0" w:line="38"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2"/>
          <w:szCs w:val="12"/>
          <w:color w:val="auto"/>
        </w:rPr>
        <w:t>Pursuant to the Purchase Agreement, the Company acquired 100% of the issued and outstanding membership interests (the “Equity Interests”) of Flatrock from the Sellers in exchange for (i) 241,803 shares of common stock, par value $0.01 per share (the “Common Stock”), of the Company (the “Equity Consideration”), (ii) $110 million in cash, subject to customary adjustments for cash, indebtedness, net working capital and transaction expenses, and (iii) the right to receive certain royalty payments pursuant to the Royalty Agreement (as defined below). Of the aggregate consideration, $2,250,000 in cash was deposited into escrow at closing to secure post-closing purchase price adjustment obligations. In connection with the transaction, the Company, Flatrock and the Sellers Representative also entered into a royalty agreement (the “Royalty Agreement”), pursuant to which the Sellers are entitled to receive contingent royalty payments based on future revenues attributable to certain of Flatrock’s products and services. These payments constitute deferred contingent consideration for the Equity Interests.</w:t>
      </w:r>
    </w:p>
    <w:p>
      <w:pPr>
        <w:spacing w:after="0" w:line="2"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The Purchase Agreement contains customary representations and warranties for transactions of its type. In addition, the Purchase Agreement contains certain post-closing covenants by the Sellers, including continuing confidentiality obligations. The representations and warranties of the Sellers and Flatrock contained in the Purchase Agreement do not survive the closing, and, except in the case of actual fraud, the Company’s sole and exclusive recourse for breaches of such representations and warranties is the representation and warranty insurance policy obtained by the Company in connection with the transaction covering certain representations and warranties set forth in the Purchase Agreement.</w:t>
      </w:r>
    </w:p>
    <w:p>
      <w:pPr>
        <w:spacing w:after="0" w:line="55"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The representations, warranties and covenants contained in the Purchase Agreement have been made solely for the benefit of the parties thereto. In addition, such representations, warranties and covenants (i) have been made only for purposes of the Purchase Agreement, (ii) have been qualified by matters (a) with respect to the Company specifically disclosed in any reports filed by the Company with the Securities and Exchange Commission (the “SEC”) prior to the date of the Purchase Agreement and (b) made in confidential disclosure schedules delivered in connection with the Purchase Agreement, (iii) are subject to materiality qualifications contained in the Purchase Agreement which may differ from what may be viewed as material by investors, (iv) were made only as of the date of the Purchase Agreement or such other date as is specified in the Purchase Agreement and (v) have been included in the Purchase Agreement for the purpose of allocating risk between the contracting parties rather than establishing matters as fact. Accordingly, the Purchase Agreement is included with this filing only to provide investors with information regarding the terms of the Purchase Agreement, and not to provide investors with any other factual information regarding the parties thereto or their respective businesses. Investors should not rely on the representations, warranties and covenants or any descriptions thereof as characterizations of the actual state of facts or condition of the parties to the Purchase Agreement or any of their respective subsidiaries or affiliates. Moreover, information concerning the subject matter of the representations and warranties may change after the date of the Purchase Agreement, which subsequent information may or may not be fully reflected in the Company’s public disclosures. The Purchase Agreement should not be read alone, but should instead be read in conjunction with the other information regarding the Company that is or will be contained in, or incorporated by reference into, the Annual Reports on Form 10-K, Quarterly Reports on Form 10-Q and other documents that the Company files with the SEC.</w:t>
      </w:r>
    </w:p>
    <w:p>
      <w:pPr>
        <w:spacing w:after="0" w:line="57" w:lineRule="exact"/>
        <w:rPr>
          <w:sz w:val="20"/>
          <w:szCs w:val="20"/>
          <w:color w:val="auto"/>
        </w:rPr>
      </w:pPr>
    </w:p>
    <w:p>
      <w:pPr>
        <w:ind w:right="460" w:firstLine="432"/>
        <w:spacing w:after="0" w:line="375" w:lineRule="auto"/>
        <w:rPr>
          <w:sz w:val="20"/>
          <w:szCs w:val="20"/>
          <w:color w:val="auto"/>
        </w:rPr>
      </w:pPr>
      <w:r>
        <w:rPr>
          <w:rFonts w:ascii="Times New Roman" w:cs="Times New Roman" w:eastAsia="Times New Roman" w:hAnsi="Times New Roman"/>
          <w:sz w:val="12"/>
          <w:szCs w:val="12"/>
          <w:color w:val="auto"/>
        </w:rPr>
        <w:t xml:space="preserve">The foregoing description of the Purchase Agreement does not purport to be complete and is subject to and qualified in its entirety by reference to the full text of the Purchase Agreement attached hereto as Exhibit 2.1. </w:t>
      </w:r>
      <w:r>
        <w:rPr>
          <w:rFonts w:ascii="Times New Roman" w:cs="Times New Roman" w:eastAsia="Times New Roman" w:hAnsi="Times New Roman"/>
          <w:sz w:val="12"/>
          <w:szCs w:val="12"/>
          <w:b w:val="1"/>
          <w:bCs w:val="1"/>
          <w:i w:val="1"/>
          <w:iCs w:val="1"/>
          <w:color w:val="auto"/>
        </w:rPr>
        <w:t>Fifth Amendment to Credit Agreement</w:t>
      </w:r>
    </w:p>
    <w:p>
      <w:pPr>
        <w:spacing w:after="0" w:line="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On June 12, 2026, the Company and the guarantors from time to time party thereto entered into the Fifth Amendment to Amended and Restated Credit Agreement with Texas Capital Bank, as administrative agent, and the lenders party thereto (the “Fifth Amendment”). Among other changes, the Fifth Amendment provides for additional commitments (the “Additional Commitments”) under the Company’s existing revolving credit facility, increasing the commitments from $400 million to $500 million, and permits the acquisition of Flatrock contemplated by the Purchase Agreement. In connection with the Additional Commitments, Regions Bank joined the credit facility as a new lender, and certain of the existing lenders increased their commitments. The accordion feature of the credit facility remains at $100 million, which if approved by the lenders would increase the maximum commitments to $600 million, subject to collateral availability.</w:t>
      </w:r>
    </w:p>
    <w:p>
      <w:pPr>
        <w:spacing w:after="0" w:line="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foregoing description of the Fifth Amendment does not purport to be complete and is subject to and qualified in its entirety by reference to the full text of the Fifth Amendment attached hereto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432435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ind w:left="8"/>
        <w:spacing w:after="0"/>
        <w:rPr>
          <w:sz w:val="20"/>
          <w:szCs w:val="20"/>
          <w:color w:val="auto"/>
        </w:rPr>
      </w:pPr>
      <w:r>
        <w:rPr>
          <w:rFonts w:ascii="Times New Roman" w:cs="Times New Roman" w:eastAsia="Times New Roman" w:hAnsi="Times New Roman"/>
          <w:sz w:val="12"/>
          <w:szCs w:val="12"/>
          <w:b w:val="1"/>
          <w:bCs w:val="1"/>
          <w:color w:val="auto"/>
        </w:rPr>
        <w:t>Item 2.01 Completion of Acquisition or Disposition of Assets.</w:t>
      </w:r>
    </w:p>
    <w:p>
      <w:pPr>
        <w:spacing w:after="0" w:line="8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information set forth in Item 1.01 of this Current Report on Form 8-K is incorporated by reference into this Item 2.01.</w:t>
      </w:r>
    </w:p>
    <w:p>
      <w:pPr>
        <w:spacing w:after="0" w:line="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2.03 Creation of a Direct Financial Obligation or an Obligation under an Off-Balance Sheet Arrangement of a Registrant.</w:t>
      </w:r>
    </w:p>
    <w:p>
      <w:pPr>
        <w:spacing w:after="0" w:line="8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information set forth in Item 1.01 of this Current Report on Form 8-K is incorporated by reference into this Item 2.03</w:t>
      </w:r>
      <w:r>
        <w:rPr>
          <w:rFonts w:ascii="Times New Roman" w:cs="Times New Roman" w:eastAsia="Times New Roman" w:hAnsi="Times New Roman"/>
          <w:sz w:val="12"/>
          <w:szCs w:val="12"/>
          <w:color w:val="212121"/>
        </w:rPr>
        <w:t>.</w:t>
      </w:r>
    </w:p>
    <w:p>
      <w:pPr>
        <w:spacing w:after="0" w:line="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3.02 Unregistered Sales of Equity Securities.</w:t>
      </w:r>
    </w:p>
    <w:p>
      <w:pPr>
        <w:spacing w:after="0" w:line="82"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The information set forth in Item 1.01 of this Current Report on Form 8-K is incorporated by reference into this Item 3.02</w:t>
      </w:r>
      <w:r>
        <w:rPr>
          <w:rFonts w:ascii="Times New Roman" w:cs="Times New Roman" w:eastAsia="Times New Roman" w:hAnsi="Times New Roman"/>
          <w:sz w:val="12"/>
          <w:szCs w:val="12"/>
          <w:color w:val="212121"/>
        </w:rPr>
        <w:t>.</w:t>
      </w:r>
      <w:r>
        <w:rPr>
          <w:rFonts w:ascii="Times New Roman" w:cs="Times New Roman" w:eastAsia="Times New Roman" w:hAnsi="Times New Roman"/>
          <w:sz w:val="12"/>
          <w:szCs w:val="12"/>
          <w:color w:val="auto"/>
        </w:rPr>
        <w:t xml:space="preserve"> The issuance of the Equity Consideration to the Sellers was completed in reliance upon the exemption from the registration requirements of the Securities Act of 1933, as amended (the "Securities Act"), provided by Section 4(a)(2) thereof as a transaction by an issuer not involving any public offering. The Company relied on this exemption from registration based in part on representations made by the Sellers.</w:t>
      </w:r>
    </w:p>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7.01 Regulation FD Disclosures.</w:t>
      </w:r>
    </w:p>
    <w:p>
      <w:pPr>
        <w:spacing w:after="0" w:line="82"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On June 15, 2026, the Company issued a press release announcing the closing of the acquisition of Flatrock contemplated by the Purchase Agreement. A copy of the press release is furnished as Exhibit 99.1 to this Current Report on Form 8-K and is incorporated into this Item 7.01 by reference.</w:t>
      </w:r>
    </w:p>
    <w:p>
      <w:pPr>
        <w:spacing w:after="0" w:line="39"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On June 15, 2026, the Company posted supplemental information in an investor presentation (the “Presentation Materials”) regarding the acquisition of Flatrock contemplated by the Purchase Agreement. A copy of the Presentation Materials is furnished as Exhibit 99.2 to this Current Report on Form 8-K and is incorporated into this Item 7.01 by reference.</w:t>
      </w:r>
    </w:p>
    <w:p>
      <w:pPr>
        <w:spacing w:after="0" w:line="39"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The information in this Item 7.01 of this Current Report on Form 8-K, including Exhibit 99.1 and Exhibit 99.2 hereto, shall not be deemed “filed” for purposes of Section 18 of the Securities Exchange Act of 1934, as amended, or otherwise subject to the liabilities of that section, nor shall it be deemed incorporated by reference in any filing under the Securities Act amended, except as expressly set forth by specific reference in such filing. By filing this Current Report on Form 8-K and furnishing this information pursuant to Item 7.01, the Company makes no admission as to the materiality of any information in this Current Report on Form 8-K, including Exhibit 99.1 and Exhibit 99.2, that is required to be disclosed solely by Regulation FD.</w:t>
      </w:r>
    </w:p>
    <w:p>
      <w:pPr>
        <w:spacing w:after="0" w:line="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2" w:lineRule="exact"/>
        <w:rPr>
          <w:sz w:val="20"/>
          <w:szCs w:val="20"/>
          <w:color w:val="auto"/>
        </w:rPr>
      </w:pPr>
    </w:p>
    <w:p>
      <w:pPr>
        <w:ind w:left="8"/>
        <w:spacing w:after="0"/>
        <w:tabs>
          <w:tab w:leader="none" w:pos="228" w:val="left"/>
        </w:tabs>
        <w:rPr>
          <w:sz w:val="20"/>
          <w:szCs w:val="20"/>
          <w:color w:val="auto"/>
        </w:rPr>
      </w:pPr>
      <w:r>
        <w:rPr>
          <w:rFonts w:ascii="Times New Roman" w:cs="Times New Roman" w:eastAsia="Times New Roman" w:hAnsi="Times New Roman"/>
          <w:sz w:val="12"/>
          <w:szCs w:val="12"/>
          <w:color w:val="auto"/>
        </w:rPr>
        <w:t>(a)</w:t>
        <w:tab/>
        <w:t>Financial Statements of Business Acquired</w:t>
      </w:r>
    </w:p>
    <w:p>
      <w:pPr>
        <w:spacing w:after="0" w:line="7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To be filed by amendment not later than 71 calendar days after the date this Current Report on Form 8-K is required to be filed.</w:t>
      </w:r>
    </w:p>
    <w:p>
      <w:pPr>
        <w:spacing w:after="0" w:line="78" w:lineRule="exact"/>
        <w:rPr>
          <w:sz w:val="20"/>
          <w:szCs w:val="20"/>
          <w:color w:val="auto"/>
        </w:rPr>
      </w:pPr>
    </w:p>
    <w:p>
      <w:pPr>
        <w:ind w:left="8"/>
        <w:spacing w:after="0"/>
        <w:tabs>
          <w:tab w:leader="none" w:pos="228" w:val="left"/>
        </w:tabs>
        <w:rPr>
          <w:sz w:val="20"/>
          <w:szCs w:val="20"/>
          <w:color w:val="auto"/>
        </w:rPr>
      </w:pPr>
      <w:r>
        <w:rPr>
          <w:rFonts w:ascii="Times New Roman" w:cs="Times New Roman" w:eastAsia="Times New Roman" w:hAnsi="Times New Roman"/>
          <w:sz w:val="12"/>
          <w:szCs w:val="12"/>
          <w:color w:val="auto"/>
        </w:rPr>
        <w:t>(c)</w:t>
        <w:tab/>
        <w:t>Pro Forma Financial Information</w:t>
      </w:r>
    </w:p>
    <w:p>
      <w:pPr>
        <w:spacing w:after="0" w:line="7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To be filed by amendment not later than 71 calendar days after the date this Current Report on Form 8-K is required to be filed.</w:t>
      </w:r>
    </w:p>
    <w:p>
      <w:pPr>
        <w:spacing w:after="0" w:line="78" w:lineRule="exact"/>
        <w:rPr>
          <w:sz w:val="20"/>
          <w:szCs w:val="20"/>
          <w:color w:val="auto"/>
        </w:rPr>
      </w:pPr>
    </w:p>
    <w:p>
      <w:pPr>
        <w:ind w:left="408" w:hanging="408"/>
        <w:spacing w:after="0"/>
        <w:tabs>
          <w:tab w:leader="none" w:pos="4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7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following exhibits are included with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432435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65" w:right="299" w:bottom="1440" w:gutter="0" w:footer="0" w:header="0"/>
        </w:sectPr>
      </w:pPr>
    </w:p>
    <w:bookmarkStart w:id="3" w:name="page4"/>
    <w:bookmarkEnd w:id="3"/>
    <w:tbl>
      <w:tblPr>
        <w:tblLayout w:type="fixed"/>
        <w:tblInd w:w="18" w:type="dxa"/>
        <w:tblCellMar>
          <w:top w:w="0" w:type="dxa"/>
          <w:left w:w="0" w:type="dxa"/>
          <w:bottom w:w="0" w:type="dxa"/>
          <w:right w:w="0" w:type="dxa"/>
        </w:tblCellMar>
      </w:tblPr>
      <w:tr>
        <w:trPr>
          <w:trHeight w:val="162"/>
        </w:trPr>
        <w:tc>
          <w:tcPr>
            <w:tcW w:w="20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Exhibit No.</w:t>
            </w:r>
          </w:p>
        </w:tc>
        <w:tc>
          <w:tcPr>
            <w:tcW w:w="92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06"/>
        </w:trPr>
        <w:tc>
          <w:tcPr>
            <w:tcW w:w="2020" w:type="dxa"/>
            <w:vAlign w:val="bottom"/>
            <w:tcBorders>
              <w:left w:val="single" w:sz="8" w:color="auto"/>
              <w:right w:val="single" w:sz="8" w:color="auto"/>
            </w:tcBorders>
          </w:tcPr>
          <w:p>
            <w:pPr>
              <w:ind w:left="40"/>
              <w:spacing w:after="0" w:line="106" w:lineRule="exact"/>
              <w:rPr>
                <w:sz w:val="20"/>
                <w:szCs w:val="20"/>
                <w:color w:val="auto"/>
              </w:rPr>
            </w:pPr>
            <w:r>
              <w:rPr>
                <w:rFonts w:ascii="Times New Roman" w:cs="Times New Roman" w:eastAsia="Times New Roman" w:hAnsi="Times New Roman"/>
                <w:sz w:val="12"/>
                <w:szCs w:val="12"/>
                <w:color w:val="auto"/>
              </w:rPr>
              <w:t>2.1*</w:t>
            </w:r>
          </w:p>
        </w:tc>
        <w:tc>
          <w:tcPr>
            <w:tcW w:w="9280" w:type="dxa"/>
            <w:vAlign w:val="bottom"/>
            <w:tcBorders>
              <w:right w:val="single" w:sz="8" w:color="auto"/>
            </w:tcBorders>
          </w:tcPr>
          <w:p>
            <w:pPr>
              <w:spacing w:after="0" w:line="106" w:lineRule="exact"/>
              <w:rPr>
                <w:sz w:val="20"/>
                <w:szCs w:val="20"/>
                <w:color w:val="auto"/>
              </w:rPr>
            </w:pPr>
            <w:r>
              <w:rPr>
                <w:rFonts w:ascii="Times New Roman" w:cs="Times New Roman" w:eastAsia="Times New Roman" w:hAnsi="Times New Roman"/>
                <w:sz w:val="12"/>
                <w:szCs w:val="12"/>
                <w:color w:val="auto"/>
              </w:rPr>
              <w:t>Securities Purchase Agreement dated June 12, 2026 by and among Natural Gas Services Group, Inc., Flatrock Compression Holdings LLC, the holders of all of the membership interests of</w:t>
            </w:r>
          </w:p>
        </w:tc>
      </w:tr>
      <w:tr>
        <w:trPr>
          <w:trHeight w:val="158"/>
        </w:trPr>
        <w:tc>
          <w:tcPr>
            <w:tcW w:w="2020" w:type="dxa"/>
            <w:vAlign w:val="bottom"/>
            <w:tcBorders>
              <w:left w:val="single" w:sz="8" w:color="auto"/>
              <w:bottom w:val="single" w:sz="8" w:color="auto"/>
              <w:right w:val="single" w:sz="8" w:color="auto"/>
            </w:tcBorders>
          </w:tcPr>
          <w:p>
            <w:pPr>
              <w:spacing w:after="0"/>
              <w:rPr>
                <w:sz w:val="13"/>
                <w:szCs w:val="13"/>
                <w:color w:val="auto"/>
              </w:rPr>
            </w:pPr>
          </w:p>
        </w:tc>
        <w:tc>
          <w:tcPr>
            <w:tcW w:w="9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Flatrock, and Mule Deer Sky LLC.</w:t>
            </w:r>
          </w:p>
        </w:tc>
      </w:tr>
      <w:tr>
        <w:trPr>
          <w:trHeight w:val="110"/>
        </w:trPr>
        <w:tc>
          <w:tcPr>
            <w:tcW w:w="2020" w:type="dxa"/>
            <w:vAlign w:val="bottom"/>
            <w:tcBorders>
              <w:left w:val="single" w:sz="8" w:color="auto"/>
              <w:right w:val="single" w:sz="8" w:color="auto"/>
            </w:tcBorders>
          </w:tcPr>
          <w:p>
            <w:pPr>
              <w:ind w:left="40"/>
              <w:spacing w:after="0" w:line="110" w:lineRule="exact"/>
              <w:rPr>
                <w:sz w:val="20"/>
                <w:szCs w:val="20"/>
                <w:color w:val="auto"/>
              </w:rPr>
            </w:pPr>
            <w:r>
              <w:rPr>
                <w:rFonts w:ascii="Times New Roman" w:cs="Times New Roman" w:eastAsia="Times New Roman" w:hAnsi="Times New Roman"/>
                <w:sz w:val="12"/>
                <w:szCs w:val="12"/>
                <w:color w:val="auto"/>
              </w:rPr>
              <w:t>10.1</w:t>
            </w:r>
          </w:p>
        </w:tc>
        <w:tc>
          <w:tcPr>
            <w:tcW w:w="9280" w:type="dxa"/>
            <w:vAlign w:val="bottom"/>
            <w:tcBorders>
              <w:right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Fifth Amendment to Amended and Restated Credit Agreement dated June 12, 2026, among the Company, the other Loan Parties party thereto, Texas Capital Bank, in its capacity as</w:t>
            </w:r>
          </w:p>
        </w:tc>
      </w:tr>
      <w:tr>
        <w:trPr>
          <w:trHeight w:val="158"/>
        </w:trPr>
        <w:tc>
          <w:tcPr>
            <w:tcW w:w="2020" w:type="dxa"/>
            <w:vAlign w:val="bottom"/>
            <w:tcBorders>
              <w:left w:val="single" w:sz="8" w:color="auto"/>
              <w:bottom w:val="single" w:sz="8" w:color="auto"/>
              <w:right w:val="single" w:sz="8" w:color="auto"/>
            </w:tcBorders>
          </w:tcPr>
          <w:p>
            <w:pPr>
              <w:spacing w:after="0"/>
              <w:rPr>
                <w:sz w:val="13"/>
                <w:szCs w:val="13"/>
                <w:color w:val="auto"/>
              </w:rPr>
            </w:pPr>
          </w:p>
        </w:tc>
        <w:tc>
          <w:tcPr>
            <w:tcW w:w="9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Administrative Agent and the Lenders party thereto.</w:t>
            </w:r>
          </w:p>
        </w:tc>
      </w:tr>
      <w:tr>
        <w:trPr>
          <w:trHeight w:val="146"/>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99.1</w:t>
            </w:r>
          </w:p>
        </w:tc>
        <w:tc>
          <w:tcPr>
            <w:tcW w:w="9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Press release issued by the Company on June 15, 2026.</w:t>
            </w:r>
          </w:p>
        </w:tc>
      </w:tr>
      <w:tr>
        <w:trPr>
          <w:trHeight w:val="142"/>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99.2</w:t>
            </w:r>
          </w:p>
        </w:tc>
        <w:tc>
          <w:tcPr>
            <w:tcW w:w="9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Presentation materials dated June 15, 2026</w:t>
            </w:r>
          </w:p>
        </w:tc>
      </w:tr>
      <w:tr>
        <w:trPr>
          <w:trHeight w:val="142"/>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104</w:t>
            </w:r>
          </w:p>
        </w:tc>
        <w:tc>
          <w:tcPr>
            <w:tcW w:w="9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124" w:lineRule="exact"/>
        <w:rPr>
          <w:sz w:val="20"/>
          <w:szCs w:val="20"/>
          <w:color w:val="auto"/>
        </w:rPr>
      </w:pPr>
    </w:p>
    <w:p>
      <w:pPr>
        <w:ind w:left="8" w:right="160" w:hanging="8"/>
        <w:spacing w:after="0" w:line="279" w:lineRule="auto"/>
        <w:tabs>
          <w:tab w:leader="none" w:pos="9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annexes, schedules and exhibits have been omitted pursuant to Item 601(a)(5) of Regulation S-K. The Company hereby undertakes to furnish supplemental copies of any of the omitted annexes, schedules and exhibits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678" w:right="319" w:bottom="1440" w:gutter="0" w:footer="0" w:header="0"/>
        </w:sectPr>
      </w:pPr>
    </w:p>
    <w:bookmarkStart w:id="4" w:name="page5"/>
    <w:bookmarkEnd w:id="4"/>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35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2"/>
          <w:szCs w:val="12"/>
          <w:b w:val="1"/>
          <w:bCs w:val="1"/>
          <w:color w:val="auto"/>
        </w:rPr>
        <w:t>NATURAL GAS SERVICES GROUP, INC.</w:t>
      </w:r>
    </w:p>
    <w:p>
      <w:pPr>
        <w:spacing w:after="0" w:line="325" w:lineRule="exact"/>
        <w:rPr>
          <w:sz w:val="20"/>
          <w:szCs w:val="20"/>
          <w:color w:val="auto"/>
        </w:rPr>
      </w:pPr>
    </w:p>
    <w:p>
      <w:pPr>
        <w:spacing w:after="0"/>
        <w:tabs>
          <w:tab w:leader="none" w:pos="620" w:val="left"/>
          <w:tab w:leader="none" w:pos="5940" w:val="left"/>
          <w:tab w:leader="none" w:pos="664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June 15,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Justin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10795</wp:posOffset>
            </wp:positionV>
            <wp:extent cx="29489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8940" cy="5715"/>
                    </a:xfrm>
                    <a:prstGeom prst="rect">
                      <a:avLst/>
                    </a:prstGeom>
                    <a:noFill/>
                  </pic:spPr>
                </pic:pic>
              </a:graphicData>
            </a:graphic>
          </wp:anchor>
        </w:drawing>
      </w:r>
    </w:p>
    <w:p>
      <w:pPr>
        <w:spacing w:after="0" w:line="14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2"/>
          <w:szCs w:val="12"/>
          <w:color w:val="auto"/>
        </w:rPr>
        <w:t>Justin C. Jacobs</w:t>
      </w:r>
    </w:p>
    <w:p>
      <w:pPr>
        <w:spacing w:after="0" w:line="1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1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2"/>
          <w:szCs w:val="12"/>
          <w:color w:val="auto"/>
        </w:rPr>
        <w:t>(Principal Executive Officer)</w:t>
      </w:r>
    </w:p>
    <w:p>
      <w:pPr>
        <w:sectPr>
          <w:pgSz w:w="11900" w:h="16838" w:orient="portrait"/>
          <w:cols w:equalWidth="0" w:num="1">
            <w:col w:w="10159"/>
          </w:cols>
          <w:pgMar w:left="300" w:top="665"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b w:val="1"/>
          <w:bCs w:val="1"/>
          <w:color w:val="auto"/>
        </w:rPr>
        <w:t>SECURITIES PURCHASE AGREEMENT</w:t>
      </w:r>
    </w:p>
    <w:p>
      <w:pPr>
        <w:spacing w:after="0" w:line="33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color w:val="auto"/>
        </w:rPr>
        <w:t>among</w:t>
      </w:r>
    </w:p>
    <w:p>
      <w:pPr>
        <w:spacing w:after="0" w:line="32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NATURAL GAS SERVICES GROUP, INC.,</w:t>
      </w:r>
    </w:p>
    <w:p>
      <w:pPr>
        <w:spacing w:after="0" w:line="1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a Colorado corporation,</w:t>
      </w:r>
    </w:p>
    <w:p>
      <w:pPr>
        <w:spacing w:after="0" w:line="1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as the Buyer,</w:t>
      </w:r>
    </w:p>
    <w:p>
      <w:pPr>
        <w:spacing w:after="0" w:line="30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color w:val="auto"/>
        </w:rPr>
        <w:t>each of the parties listed on the signature pages hereto as a Seller,</w:t>
      </w:r>
    </w:p>
    <w:p>
      <w:pPr>
        <w:spacing w:after="0" w:line="33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FLATROCK COMPRESSION HOLDINGS LLC, a Delaware limited liability company,</w:t>
      </w:r>
    </w:p>
    <w:p>
      <w:pPr>
        <w:spacing w:after="0" w:line="1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as the Company,</w:t>
      </w:r>
    </w:p>
    <w:p>
      <w:pPr>
        <w:spacing w:after="0" w:line="30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and</w:t>
      </w:r>
    </w:p>
    <w:p>
      <w:pPr>
        <w:spacing w:after="0" w:line="33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Mule Deer Sky LLC,</w:t>
      </w:r>
    </w:p>
    <w:p>
      <w:pPr>
        <w:spacing w:after="0" w:line="1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a Texas limited liability company,</w:t>
      </w:r>
    </w:p>
    <w:p>
      <w:pPr>
        <w:spacing w:after="0" w:line="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as the Sellers Representative</w:t>
      </w:r>
    </w:p>
    <w:p>
      <w:pPr>
        <w:spacing w:after="0" w:line="3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color w:val="auto"/>
        </w:rPr>
        <w:t>Dated as of June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60"/>
          </w:cols>
          <w:pgMar w:left="1440" w:top="290"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tc>
        <w:tc>
          <w:tcPr>
            <w:tcW w:w="0" w:type="dxa"/>
            <w:vAlign w:val="bottom"/>
          </w:tcPr>
          <w:p>
            <w:pPr>
              <w:spacing w:after="0"/>
              <w:rPr>
                <w:sz w:val="1"/>
                <w:szCs w:val="1"/>
                <w:color w:val="auto"/>
              </w:rPr>
            </w:pPr>
          </w:p>
        </w:tc>
      </w:tr>
      <w:tr>
        <w:trPr>
          <w:trHeight w:val="810"/>
        </w:trPr>
        <w:tc>
          <w:tcPr>
            <w:tcW w:w="276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41"/>
        </w:trPr>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276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Article I DEFINITIONS. 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7"/>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7"/>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2340" w:type="dxa"/>
            <w:vAlign w:val="bottom"/>
            <w:gridSpan w:val="26"/>
          </w:tcPr>
          <w:p>
            <w:pPr>
              <w:spacing w:after="0" w:line="142" w:lineRule="exact"/>
              <w:rPr>
                <w:sz w:val="20"/>
                <w:szCs w:val="20"/>
                <w:color w:val="auto"/>
              </w:rPr>
            </w:pPr>
            <w:r>
              <w:rPr>
                <w:rFonts w:ascii="Times New Roman" w:cs="Times New Roman" w:eastAsia="Times New Roman" w:hAnsi="Times New Roman"/>
                <w:sz w:val="14"/>
                <w:szCs w:val="14"/>
                <w:color w:val="auto"/>
              </w:rPr>
              <w:t>Section 1.1 Certain Defined Terms.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7"/>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1.2</w:t>
            </w:r>
          </w:p>
        </w:tc>
        <w:tc>
          <w:tcPr>
            <w:tcW w:w="20" w:type="dxa"/>
            <w:vAlign w:val="bottom"/>
          </w:tcPr>
          <w:p>
            <w:pPr>
              <w:spacing w:after="0"/>
              <w:rPr>
                <w:sz w:val="12"/>
                <w:szCs w:val="12"/>
                <w:color w:val="auto"/>
              </w:rPr>
            </w:pPr>
          </w:p>
        </w:tc>
        <w:tc>
          <w:tcPr>
            <w:tcW w:w="1340" w:type="dxa"/>
            <w:vAlign w:val="bottom"/>
            <w:tcBorders>
              <w:top w:val="single" w:sz="8" w:color="auto"/>
            </w:tcBorders>
            <w:gridSpan w:val="19"/>
          </w:tcPr>
          <w:p>
            <w:pPr>
              <w:spacing w:after="0" w:line="142" w:lineRule="exact"/>
              <w:rPr>
                <w:sz w:val="20"/>
                <w:szCs w:val="20"/>
                <w:color w:val="auto"/>
              </w:rPr>
            </w:pPr>
            <w:r>
              <w:rPr>
                <w:rFonts w:ascii="Times New Roman" w:cs="Times New Roman" w:eastAsia="Times New Roman" w:hAnsi="Times New Roman"/>
                <w:sz w:val="14"/>
                <w:szCs w:val="14"/>
                <w:color w:val="auto"/>
              </w:rPr>
              <w:t>Table of Definitions.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7"/>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Article</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7"/>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vMerge w:val="continue"/>
          </w:tcPr>
          <w:p>
            <w:pPr>
              <w:spacing w:after="0"/>
              <w:rPr>
                <w:sz w:val="12"/>
                <w:szCs w:val="12"/>
                <w:color w:val="auto"/>
              </w:rPr>
            </w:pPr>
          </w:p>
        </w:tc>
        <w:tc>
          <w:tcPr>
            <w:tcW w:w="2340" w:type="dxa"/>
            <w:vAlign w:val="bottom"/>
            <w:gridSpan w:val="26"/>
          </w:tcPr>
          <w:p>
            <w:pPr>
              <w:spacing w:after="0" w:line="142" w:lineRule="exact"/>
              <w:rPr>
                <w:sz w:val="20"/>
                <w:szCs w:val="20"/>
                <w:color w:val="auto"/>
              </w:rPr>
            </w:pPr>
            <w:r>
              <w:rPr>
                <w:rFonts w:ascii="Times New Roman" w:cs="Times New Roman" w:eastAsia="Times New Roman" w:hAnsi="Times New Roman"/>
                <w:sz w:val="14"/>
                <w:szCs w:val="14"/>
                <w:color w:val="auto"/>
              </w:rPr>
              <w:t>II PURCHASE AND SALE.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7"/>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5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3400" w:type="dxa"/>
            <w:vAlign w:val="bottom"/>
            <w:gridSpan w:val="38"/>
          </w:tcPr>
          <w:p>
            <w:pPr>
              <w:spacing w:after="0" w:line="142" w:lineRule="exact"/>
              <w:rPr>
                <w:sz w:val="20"/>
                <w:szCs w:val="20"/>
                <w:color w:val="auto"/>
              </w:rPr>
            </w:pPr>
            <w:r>
              <w:rPr>
                <w:rFonts w:ascii="Times New Roman" w:cs="Times New Roman" w:eastAsia="Times New Roman" w:hAnsi="Times New Roman"/>
                <w:sz w:val="14"/>
                <w:szCs w:val="14"/>
                <w:color w:val="auto"/>
              </w:rPr>
              <w:t>Section 2.1 Purchase and Sale of the Equity Interests.</w:t>
            </w:r>
          </w:p>
        </w:tc>
        <w:tc>
          <w:tcPr>
            <w:tcW w:w="540" w:type="dxa"/>
            <w:vAlign w:val="bottom"/>
            <w:gridSpan w:val="4"/>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2.2</w:t>
            </w:r>
          </w:p>
        </w:tc>
        <w:tc>
          <w:tcPr>
            <w:tcW w:w="20" w:type="dxa"/>
            <w:vAlign w:val="bottom"/>
          </w:tcPr>
          <w:p>
            <w:pPr>
              <w:spacing w:after="0"/>
              <w:rPr>
                <w:sz w:val="12"/>
                <w:szCs w:val="12"/>
                <w:color w:val="auto"/>
              </w:rPr>
            </w:pPr>
          </w:p>
        </w:tc>
        <w:tc>
          <w:tcPr>
            <w:tcW w:w="1660" w:type="dxa"/>
            <w:vAlign w:val="bottom"/>
            <w:tcBorders>
              <w:top w:val="single" w:sz="8" w:color="auto"/>
            </w:tcBorders>
            <w:gridSpan w:val="24"/>
          </w:tcPr>
          <w:p>
            <w:pPr>
              <w:spacing w:after="0" w:line="142" w:lineRule="exact"/>
              <w:rPr>
                <w:sz w:val="20"/>
                <w:szCs w:val="20"/>
                <w:color w:val="auto"/>
              </w:rPr>
            </w:pPr>
            <w:r>
              <w:rPr>
                <w:rFonts w:ascii="Times New Roman" w:cs="Times New Roman" w:eastAsia="Times New Roman" w:hAnsi="Times New Roman"/>
                <w:sz w:val="14"/>
                <w:szCs w:val="14"/>
                <w:color w:val="auto"/>
              </w:rPr>
              <w:t>Closing.</w:t>
            </w:r>
          </w:p>
        </w:tc>
        <w:tc>
          <w:tcPr>
            <w:tcW w:w="440" w:type="dxa"/>
            <w:vAlign w:val="bottom"/>
            <w:tcBorders>
              <w:top w:val="single" w:sz="8" w:color="auto"/>
            </w:tcBorders>
            <w:gridSpan w:val="4"/>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66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Section 2.3</w:t>
            </w:r>
          </w:p>
        </w:tc>
        <w:tc>
          <w:tcPr>
            <w:tcW w:w="20" w:type="dxa"/>
            <w:vAlign w:val="bottom"/>
          </w:tcPr>
          <w:p>
            <w:pPr>
              <w:spacing w:after="0"/>
              <w:rPr>
                <w:sz w:val="11"/>
                <w:szCs w:val="11"/>
                <w:color w:val="auto"/>
              </w:rPr>
            </w:pPr>
          </w:p>
        </w:tc>
        <w:tc>
          <w:tcPr>
            <w:tcW w:w="460" w:type="dxa"/>
            <w:vAlign w:val="bottom"/>
            <w:tcBorders>
              <w:top w:val="single" w:sz="8" w:color="auto"/>
            </w:tcBorders>
            <w:gridSpan w:val="8"/>
          </w:tcPr>
          <w:p>
            <w:pPr>
              <w:spacing w:after="0" w:line="133" w:lineRule="exact"/>
              <w:rPr>
                <w:sz w:val="20"/>
                <w:szCs w:val="20"/>
                <w:color w:val="auto"/>
              </w:rPr>
            </w:pPr>
            <w:r>
              <w:rPr>
                <w:rFonts w:ascii="Times New Roman" w:cs="Times New Roman" w:eastAsia="Times New Roman" w:hAnsi="Times New Roman"/>
                <w:sz w:val="14"/>
                <w:szCs w:val="14"/>
                <w:color w:val="auto"/>
              </w:rPr>
              <w:t>Closing</w:t>
            </w:r>
          </w:p>
        </w:tc>
        <w:tc>
          <w:tcPr>
            <w:tcW w:w="1200" w:type="dxa"/>
            <w:vAlign w:val="bottom"/>
            <w:gridSpan w:val="16"/>
          </w:tcPr>
          <w:p>
            <w:pPr>
              <w:ind w:left="40"/>
              <w:spacing w:after="0" w:line="133" w:lineRule="exact"/>
              <w:rPr>
                <w:sz w:val="20"/>
                <w:szCs w:val="20"/>
                <w:color w:val="auto"/>
              </w:rPr>
            </w:pPr>
            <w:r>
              <w:rPr>
                <w:rFonts w:ascii="Times New Roman" w:cs="Times New Roman" w:eastAsia="Times New Roman" w:hAnsi="Times New Roman"/>
                <w:sz w:val="14"/>
                <w:szCs w:val="14"/>
                <w:color w:val="auto"/>
              </w:rPr>
              <w:t>Estimates.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7"/>
          </w:tcPr>
          <w:p>
            <w:pPr>
              <w:jc w:val="right"/>
              <w:ind w:right="80"/>
              <w:spacing w:after="0" w:line="133" w:lineRule="exact"/>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5"/>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Section 2.4</w:t>
            </w:r>
          </w:p>
        </w:tc>
        <w:tc>
          <w:tcPr>
            <w:tcW w:w="20" w:type="dxa"/>
            <w:vAlign w:val="bottom"/>
            <w:vMerge w:val="continue"/>
          </w:tcPr>
          <w:p>
            <w:pPr>
              <w:spacing w:after="0"/>
              <w:rPr>
                <w:sz w:val="12"/>
                <w:szCs w:val="12"/>
                <w:color w:val="auto"/>
              </w:rPr>
            </w:pPr>
          </w:p>
        </w:tc>
        <w:tc>
          <w:tcPr>
            <w:tcW w:w="2720" w:type="dxa"/>
            <w:vAlign w:val="bottom"/>
            <w:gridSpan w:val="36"/>
          </w:tcPr>
          <w:p>
            <w:pPr>
              <w:spacing w:after="0" w:line="142" w:lineRule="exact"/>
              <w:rPr>
                <w:sz w:val="20"/>
                <w:szCs w:val="20"/>
                <w:color w:val="auto"/>
              </w:rPr>
            </w:pPr>
            <w:r>
              <w:rPr>
                <w:rFonts w:ascii="Times New Roman" w:cs="Times New Roman" w:eastAsia="Times New Roman" w:hAnsi="Times New Roman"/>
                <w:sz w:val="14"/>
                <w:szCs w:val="14"/>
                <w:color w:val="auto"/>
              </w:rPr>
              <w:t>Post-Closing Adjustment of Purchase Price.</w:t>
            </w:r>
          </w:p>
        </w:tc>
        <w:tc>
          <w:tcPr>
            <w:tcW w:w="580" w:type="dxa"/>
            <w:vAlign w:val="bottom"/>
            <w:gridSpan w:val="5"/>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Section 2.5</w:t>
            </w:r>
          </w:p>
        </w:tc>
        <w:tc>
          <w:tcPr>
            <w:tcW w:w="20" w:type="dxa"/>
            <w:vAlign w:val="bottom"/>
            <w:vMerge w:val="continue"/>
          </w:tcPr>
          <w:p>
            <w:pPr>
              <w:spacing w:after="0"/>
              <w:rPr>
                <w:sz w:val="12"/>
                <w:szCs w:val="12"/>
                <w:color w:val="auto"/>
              </w:rPr>
            </w:pPr>
          </w:p>
        </w:tc>
        <w:tc>
          <w:tcPr>
            <w:tcW w:w="1660" w:type="dxa"/>
            <w:vAlign w:val="bottom"/>
            <w:gridSpan w:val="24"/>
          </w:tcPr>
          <w:p>
            <w:pPr>
              <w:spacing w:after="0" w:line="142" w:lineRule="exact"/>
              <w:rPr>
                <w:sz w:val="20"/>
                <w:szCs w:val="20"/>
                <w:color w:val="auto"/>
              </w:rPr>
            </w:pPr>
            <w:r>
              <w:rPr>
                <w:rFonts w:ascii="Times New Roman" w:cs="Times New Roman" w:eastAsia="Times New Roman" w:hAnsi="Times New Roman"/>
                <w:sz w:val="14"/>
                <w:szCs w:val="14"/>
                <w:color w:val="auto"/>
              </w:rPr>
              <w:t>Purchase Price Allocation.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9"/>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2.6</w:t>
            </w:r>
          </w:p>
        </w:tc>
        <w:tc>
          <w:tcPr>
            <w:tcW w:w="20" w:type="dxa"/>
            <w:vAlign w:val="bottom"/>
          </w:tcPr>
          <w:p>
            <w:pPr>
              <w:spacing w:after="0"/>
              <w:rPr>
                <w:sz w:val="12"/>
                <w:szCs w:val="12"/>
                <w:color w:val="auto"/>
              </w:rPr>
            </w:pPr>
          </w:p>
        </w:tc>
        <w:tc>
          <w:tcPr>
            <w:tcW w:w="1500" w:type="dxa"/>
            <w:vAlign w:val="bottom"/>
            <w:tcBorders>
              <w:top w:val="single" w:sz="8" w:color="auto"/>
            </w:tcBorders>
            <w:gridSpan w:val="22"/>
          </w:tcPr>
          <w:p>
            <w:pPr>
              <w:spacing w:after="0" w:line="142" w:lineRule="exact"/>
              <w:rPr>
                <w:sz w:val="20"/>
                <w:szCs w:val="20"/>
                <w:color w:val="auto"/>
              </w:rPr>
            </w:pPr>
            <w:r>
              <w:rPr>
                <w:rFonts w:ascii="Times New Roman" w:cs="Times New Roman" w:eastAsia="Times New Roman" w:hAnsi="Times New Roman"/>
                <w:sz w:val="14"/>
                <w:szCs w:val="14"/>
                <w:color w:val="auto"/>
              </w:rPr>
              <w:t>Sellers Representative.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8"/>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2.7</w:t>
            </w:r>
          </w:p>
        </w:tc>
        <w:tc>
          <w:tcPr>
            <w:tcW w:w="20" w:type="dxa"/>
            <w:vAlign w:val="bottom"/>
          </w:tcPr>
          <w:p>
            <w:pPr>
              <w:spacing w:after="0"/>
              <w:rPr>
                <w:sz w:val="12"/>
                <w:szCs w:val="12"/>
                <w:color w:val="auto"/>
              </w:rPr>
            </w:pPr>
          </w:p>
        </w:tc>
        <w:tc>
          <w:tcPr>
            <w:tcW w:w="1300" w:type="dxa"/>
            <w:vAlign w:val="bottom"/>
            <w:tcBorders>
              <w:top w:val="single" w:sz="8" w:color="auto"/>
            </w:tcBorders>
            <w:gridSpan w:val="17"/>
          </w:tcPr>
          <w:p>
            <w:pPr>
              <w:spacing w:after="0" w:line="142" w:lineRule="exact"/>
              <w:rPr>
                <w:sz w:val="20"/>
                <w:szCs w:val="20"/>
                <w:color w:val="auto"/>
              </w:rPr>
            </w:pPr>
            <w:r>
              <w:rPr>
                <w:rFonts w:ascii="Times New Roman" w:cs="Times New Roman" w:eastAsia="Times New Roman" w:hAnsi="Times New Roman"/>
                <w:sz w:val="14"/>
                <w:szCs w:val="14"/>
                <w:color w:val="auto"/>
              </w:rPr>
              <w:t>Withholding.</w:t>
            </w: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Article</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80" w:type="dxa"/>
            <w:vAlign w:val="bottom"/>
            <w:vMerge w:val="restart"/>
          </w:tcPr>
          <w:p>
            <w:pPr>
              <w:jc w:val="right"/>
              <w:ind w:right="5888"/>
              <w:spacing w:after="0"/>
              <w:rPr>
                <w:sz w:val="20"/>
                <w:szCs w:val="20"/>
                <w:color w:val="auto"/>
              </w:rPr>
            </w:pPr>
            <w:r>
              <w:rPr>
                <w:rFonts w:ascii="Times New Roman" w:cs="Times New Roman" w:eastAsia="Times New Roman" w:hAnsi="Times New Roman"/>
                <w:sz w:val="14"/>
                <w:szCs w:val="14"/>
                <w:color w:val="auto"/>
              </w:rPr>
              <w:t>23</w:t>
            </w: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vMerge w:val="continue"/>
          </w:tcPr>
          <w:p>
            <w:pPr>
              <w:spacing w:after="0"/>
              <w:rPr>
                <w:sz w:val="12"/>
                <w:szCs w:val="12"/>
                <w:color w:val="auto"/>
              </w:rPr>
            </w:pPr>
          </w:p>
        </w:tc>
        <w:tc>
          <w:tcPr>
            <w:tcW w:w="4120" w:type="dxa"/>
            <w:vAlign w:val="bottom"/>
            <w:gridSpan w:val="45"/>
          </w:tcPr>
          <w:p>
            <w:pPr>
              <w:spacing w:after="0" w:line="142" w:lineRule="exact"/>
              <w:rPr>
                <w:sz w:val="20"/>
                <w:szCs w:val="20"/>
                <w:color w:val="auto"/>
              </w:rPr>
            </w:pPr>
            <w:r>
              <w:rPr>
                <w:rFonts w:ascii="Times New Roman" w:cs="Times New Roman" w:eastAsia="Times New Roman" w:hAnsi="Times New Roman"/>
                <w:sz w:val="14"/>
                <w:szCs w:val="14"/>
                <w:color w:val="auto"/>
              </w:rPr>
              <w:t>III REPRESENTATIONS AND WARRANTIES OF THE SELLERS.</w:t>
            </w:r>
          </w:p>
        </w:tc>
        <w:tc>
          <w:tcPr>
            <w:tcW w:w="6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28"/>
          </w:tcPr>
          <w:p>
            <w:pPr>
              <w:spacing w:after="0" w:line="142" w:lineRule="exact"/>
              <w:rPr>
                <w:sz w:val="20"/>
                <w:szCs w:val="20"/>
                <w:color w:val="auto"/>
              </w:rPr>
            </w:pPr>
            <w:r>
              <w:rPr>
                <w:rFonts w:ascii="Times New Roman" w:cs="Times New Roman" w:eastAsia="Times New Roman" w:hAnsi="Times New Roman"/>
                <w:sz w:val="14"/>
                <w:szCs w:val="14"/>
                <w:color w:val="auto"/>
              </w:rPr>
              <w:t>Section 3.1 Organization and Qualification.</w:t>
            </w:r>
          </w:p>
        </w:tc>
        <w:tc>
          <w:tcPr>
            <w:tcW w:w="2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3.2</w:t>
            </w:r>
          </w:p>
        </w:tc>
        <w:tc>
          <w:tcPr>
            <w:tcW w:w="20" w:type="dxa"/>
            <w:vAlign w:val="bottom"/>
          </w:tcPr>
          <w:p>
            <w:pPr>
              <w:spacing w:after="0"/>
              <w:rPr>
                <w:sz w:val="12"/>
                <w:szCs w:val="12"/>
                <w:color w:val="auto"/>
              </w:rPr>
            </w:pPr>
          </w:p>
        </w:tc>
        <w:tc>
          <w:tcPr>
            <w:tcW w:w="1660" w:type="dxa"/>
            <w:vAlign w:val="bottom"/>
            <w:tcBorders>
              <w:top w:val="single" w:sz="8" w:color="auto"/>
            </w:tcBorders>
            <w:gridSpan w:val="24"/>
          </w:tcPr>
          <w:p>
            <w:pPr>
              <w:spacing w:after="0" w:line="142" w:lineRule="exact"/>
              <w:rPr>
                <w:sz w:val="20"/>
                <w:szCs w:val="20"/>
                <w:color w:val="auto"/>
              </w:rPr>
            </w:pPr>
            <w:r>
              <w:rPr>
                <w:rFonts w:ascii="Times New Roman" w:cs="Times New Roman" w:eastAsia="Times New Roman" w:hAnsi="Times New Roman"/>
                <w:sz w:val="14"/>
                <w:szCs w:val="14"/>
                <w:color w:val="auto"/>
              </w:rPr>
              <w:t>Authority.</w:t>
            </w: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6"/>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Section 3.3</w:t>
            </w:r>
          </w:p>
        </w:tc>
        <w:tc>
          <w:tcPr>
            <w:tcW w:w="20" w:type="dxa"/>
            <w:vAlign w:val="bottom"/>
            <w:vMerge w:val="continue"/>
          </w:tcPr>
          <w:p>
            <w:pPr>
              <w:spacing w:after="0"/>
              <w:rPr>
                <w:sz w:val="12"/>
                <w:szCs w:val="12"/>
                <w:color w:val="auto"/>
              </w:rPr>
            </w:pPr>
          </w:p>
        </w:tc>
        <w:tc>
          <w:tcPr>
            <w:tcW w:w="2720" w:type="dxa"/>
            <w:vAlign w:val="bottom"/>
            <w:gridSpan w:val="36"/>
          </w:tcPr>
          <w:p>
            <w:pPr>
              <w:spacing w:after="0" w:line="142" w:lineRule="exact"/>
              <w:rPr>
                <w:sz w:val="20"/>
                <w:szCs w:val="20"/>
                <w:color w:val="auto"/>
              </w:rPr>
            </w:pPr>
            <w:r>
              <w:rPr>
                <w:rFonts w:ascii="Times New Roman" w:cs="Times New Roman" w:eastAsia="Times New Roman" w:hAnsi="Times New Roman"/>
                <w:sz w:val="14"/>
                <w:szCs w:val="14"/>
                <w:color w:val="auto"/>
              </w:rPr>
              <w:t>No Conflict; Required Filings and Consents.</w:t>
            </w:r>
          </w:p>
        </w:tc>
        <w:tc>
          <w:tcPr>
            <w:tcW w:w="62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3.4</w:t>
            </w:r>
          </w:p>
        </w:tc>
        <w:tc>
          <w:tcPr>
            <w:tcW w:w="20" w:type="dxa"/>
            <w:vAlign w:val="bottom"/>
          </w:tcPr>
          <w:p>
            <w:pPr>
              <w:spacing w:after="0"/>
              <w:rPr>
                <w:sz w:val="12"/>
                <w:szCs w:val="12"/>
                <w:color w:val="auto"/>
              </w:rPr>
            </w:pPr>
          </w:p>
        </w:tc>
        <w:tc>
          <w:tcPr>
            <w:tcW w:w="1660" w:type="dxa"/>
            <w:vAlign w:val="bottom"/>
            <w:tcBorders>
              <w:top w:val="single" w:sz="8" w:color="auto"/>
            </w:tcBorders>
            <w:gridSpan w:val="24"/>
          </w:tcPr>
          <w:p>
            <w:pPr>
              <w:spacing w:after="0" w:line="142" w:lineRule="exact"/>
              <w:rPr>
                <w:sz w:val="20"/>
                <w:szCs w:val="20"/>
                <w:color w:val="auto"/>
              </w:rPr>
            </w:pPr>
            <w:r>
              <w:rPr>
                <w:rFonts w:ascii="Times New Roman" w:cs="Times New Roman" w:eastAsia="Times New Roman" w:hAnsi="Times New Roman"/>
                <w:sz w:val="14"/>
                <w:szCs w:val="14"/>
                <w:color w:val="auto"/>
              </w:rPr>
              <w:t>Equity Interests.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5"/>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24</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66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Section 3.5</w:t>
            </w:r>
          </w:p>
        </w:tc>
        <w:tc>
          <w:tcPr>
            <w:tcW w:w="20" w:type="dxa"/>
            <w:vAlign w:val="bottom"/>
          </w:tcPr>
          <w:p>
            <w:pPr>
              <w:spacing w:after="0"/>
              <w:rPr>
                <w:sz w:val="11"/>
                <w:szCs w:val="11"/>
                <w:color w:val="auto"/>
              </w:rPr>
            </w:pPr>
          </w:p>
        </w:tc>
        <w:tc>
          <w:tcPr>
            <w:tcW w:w="920" w:type="dxa"/>
            <w:vAlign w:val="bottom"/>
            <w:tcBorders>
              <w:top w:val="single" w:sz="8" w:color="auto"/>
            </w:tcBorders>
            <w:gridSpan w:val="14"/>
          </w:tcPr>
          <w:p>
            <w:pPr>
              <w:spacing w:after="0" w:line="133" w:lineRule="exact"/>
              <w:rPr>
                <w:sz w:val="20"/>
                <w:szCs w:val="20"/>
                <w:color w:val="auto"/>
              </w:rPr>
            </w:pPr>
            <w:r>
              <w:rPr>
                <w:rFonts w:ascii="Times New Roman" w:cs="Times New Roman" w:eastAsia="Times New Roman" w:hAnsi="Times New Roman"/>
                <w:sz w:val="14"/>
                <w:szCs w:val="14"/>
                <w:color w:val="auto"/>
              </w:rPr>
              <w:t>Acquisition of</w:t>
            </w:r>
          </w:p>
        </w:tc>
        <w:tc>
          <w:tcPr>
            <w:tcW w:w="1800" w:type="dxa"/>
            <w:vAlign w:val="bottom"/>
            <w:gridSpan w:val="22"/>
          </w:tcPr>
          <w:p>
            <w:pPr>
              <w:spacing w:after="0" w:line="133" w:lineRule="exact"/>
              <w:rPr>
                <w:sz w:val="20"/>
                <w:szCs w:val="20"/>
                <w:color w:val="auto"/>
              </w:rPr>
            </w:pPr>
            <w:r>
              <w:rPr>
                <w:rFonts w:ascii="Times New Roman" w:cs="Times New Roman" w:eastAsia="Times New Roman" w:hAnsi="Times New Roman"/>
                <w:sz w:val="14"/>
                <w:szCs w:val="14"/>
                <w:color w:val="auto"/>
              </w:rPr>
              <w:t>Buyer Common Shares.</w:t>
            </w:r>
          </w:p>
        </w:tc>
        <w:tc>
          <w:tcPr>
            <w:tcW w:w="540" w:type="dxa"/>
            <w:vAlign w:val="bottom"/>
            <w:gridSpan w:val="4"/>
          </w:tcPr>
          <w:p>
            <w:pPr>
              <w:jc w:val="right"/>
              <w:ind w:right="100"/>
              <w:spacing w:after="0" w:line="133" w:lineRule="exact"/>
              <w:rPr>
                <w:sz w:val="20"/>
                <w:szCs w:val="20"/>
                <w:color w:val="auto"/>
              </w:rPr>
            </w:pPr>
            <w:r>
              <w:rPr>
                <w:rFonts w:ascii="Times New Roman" w:cs="Times New Roman" w:eastAsia="Times New Roman" w:hAnsi="Times New Roman"/>
                <w:sz w:val="14"/>
                <w:szCs w:val="14"/>
                <w:color w:val="auto"/>
              </w:rPr>
              <w:t>24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Article</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80" w:type="dxa"/>
            <w:vAlign w:val="bottom"/>
            <w:vMerge w:val="restart"/>
          </w:tcPr>
          <w:p>
            <w:pPr>
              <w:jc w:val="right"/>
              <w:ind w:right="5928"/>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vMerge w:val="continue"/>
          </w:tcPr>
          <w:p>
            <w:pPr>
              <w:spacing w:after="0"/>
              <w:rPr>
                <w:sz w:val="12"/>
                <w:szCs w:val="12"/>
                <w:color w:val="auto"/>
              </w:rPr>
            </w:pPr>
          </w:p>
        </w:tc>
        <w:tc>
          <w:tcPr>
            <w:tcW w:w="4020" w:type="dxa"/>
            <w:vAlign w:val="bottom"/>
            <w:gridSpan w:val="44"/>
          </w:tcPr>
          <w:p>
            <w:pPr>
              <w:spacing w:after="0" w:line="142" w:lineRule="exact"/>
              <w:rPr>
                <w:sz w:val="20"/>
                <w:szCs w:val="20"/>
                <w:color w:val="auto"/>
              </w:rPr>
            </w:pPr>
            <w:r>
              <w:rPr>
                <w:rFonts w:ascii="Times New Roman" w:cs="Times New Roman" w:eastAsia="Times New Roman" w:hAnsi="Times New Roman"/>
                <w:sz w:val="14"/>
                <w:szCs w:val="14"/>
                <w:color w:val="auto"/>
              </w:rPr>
              <w:t>IV REPRESENTATIONS AND WARRANTIES OF THE Company.</w:t>
            </w:r>
          </w:p>
        </w:tc>
        <w:tc>
          <w:tcPr>
            <w:tcW w:w="100" w:type="dxa"/>
            <w:vAlign w:val="bottom"/>
          </w:tcPr>
          <w:p>
            <w:pPr>
              <w:spacing w:after="0"/>
              <w:rPr>
                <w:sz w:val="12"/>
                <w:szCs w:val="12"/>
                <w:color w:val="auto"/>
              </w:rPr>
            </w:pPr>
          </w:p>
        </w:tc>
        <w:tc>
          <w:tcPr>
            <w:tcW w:w="6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28"/>
          </w:tcPr>
          <w:p>
            <w:pPr>
              <w:spacing w:after="0" w:line="142" w:lineRule="exact"/>
              <w:rPr>
                <w:sz w:val="20"/>
                <w:szCs w:val="20"/>
                <w:color w:val="auto"/>
              </w:rPr>
            </w:pPr>
            <w:r>
              <w:rPr>
                <w:rFonts w:ascii="Times New Roman" w:cs="Times New Roman" w:eastAsia="Times New Roman" w:hAnsi="Times New Roman"/>
                <w:sz w:val="14"/>
                <w:szCs w:val="14"/>
                <w:color w:val="auto"/>
              </w:rPr>
              <w:t>Section 4.1 Organization and Qualification.</w:t>
            </w:r>
          </w:p>
        </w:tc>
        <w:tc>
          <w:tcPr>
            <w:tcW w:w="2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25</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4.2</w:t>
            </w:r>
          </w:p>
        </w:tc>
        <w:tc>
          <w:tcPr>
            <w:tcW w:w="20" w:type="dxa"/>
            <w:vAlign w:val="bottom"/>
          </w:tcPr>
          <w:p>
            <w:pPr>
              <w:spacing w:after="0"/>
              <w:rPr>
                <w:sz w:val="12"/>
                <w:szCs w:val="12"/>
                <w:color w:val="auto"/>
              </w:rPr>
            </w:pPr>
          </w:p>
        </w:tc>
        <w:tc>
          <w:tcPr>
            <w:tcW w:w="1660" w:type="dxa"/>
            <w:vAlign w:val="bottom"/>
            <w:tcBorders>
              <w:top w:val="single" w:sz="8" w:color="auto"/>
            </w:tcBorders>
            <w:gridSpan w:val="24"/>
          </w:tcPr>
          <w:p>
            <w:pPr>
              <w:spacing w:after="0" w:line="142" w:lineRule="exact"/>
              <w:rPr>
                <w:sz w:val="20"/>
                <w:szCs w:val="20"/>
                <w:color w:val="auto"/>
              </w:rPr>
            </w:pPr>
            <w:r>
              <w:rPr>
                <w:rFonts w:ascii="Times New Roman" w:cs="Times New Roman" w:eastAsia="Times New Roman" w:hAnsi="Times New Roman"/>
                <w:sz w:val="14"/>
                <w:szCs w:val="14"/>
                <w:color w:val="auto"/>
              </w:rPr>
              <w:t>Authority.</w:t>
            </w: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6"/>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Section 4.3</w:t>
            </w:r>
          </w:p>
        </w:tc>
        <w:tc>
          <w:tcPr>
            <w:tcW w:w="20" w:type="dxa"/>
            <w:vAlign w:val="bottom"/>
            <w:vMerge w:val="continue"/>
          </w:tcPr>
          <w:p>
            <w:pPr>
              <w:spacing w:after="0"/>
              <w:rPr>
                <w:sz w:val="12"/>
                <w:szCs w:val="12"/>
                <w:color w:val="auto"/>
              </w:rPr>
            </w:pPr>
          </w:p>
        </w:tc>
        <w:tc>
          <w:tcPr>
            <w:tcW w:w="2720" w:type="dxa"/>
            <w:vAlign w:val="bottom"/>
            <w:gridSpan w:val="36"/>
          </w:tcPr>
          <w:p>
            <w:pPr>
              <w:spacing w:after="0" w:line="142" w:lineRule="exact"/>
              <w:rPr>
                <w:sz w:val="20"/>
                <w:szCs w:val="20"/>
                <w:color w:val="auto"/>
              </w:rPr>
            </w:pPr>
            <w:r>
              <w:rPr>
                <w:rFonts w:ascii="Times New Roman" w:cs="Times New Roman" w:eastAsia="Times New Roman" w:hAnsi="Times New Roman"/>
                <w:sz w:val="14"/>
                <w:szCs w:val="14"/>
                <w:color w:val="auto"/>
              </w:rPr>
              <w:t>No Conflict; Required Filings and Consents.</w:t>
            </w:r>
          </w:p>
        </w:tc>
        <w:tc>
          <w:tcPr>
            <w:tcW w:w="62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4.4</w:t>
            </w:r>
          </w:p>
        </w:tc>
        <w:tc>
          <w:tcPr>
            <w:tcW w:w="20" w:type="dxa"/>
            <w:vAlign w:val="bottom"/>
          </w:tcPr>
          <w:p>
            <w:pPr>
              <w:spacing w:after="0"/>
              <w:rPr>
                <w:sz w:val="12"/>
                <w:szCs w:val="12"/>
                <w:color w:val="auto"/>
              </w:rPr>
            </w:pPr>
          </w:p>
        </w:tc>
        <w:tc>
          <w:tcPr>
            <w:tcW w:w="1660" w:type="dxa"/>
            <w:vAlign w:val="bottom"/>
            <w:tcBorders>
              <w:top w:val="single" w:sz="8" w:color="auto"/>
            </w:tcBorders>
            <w:gridSpan w:val="24"/>
          </w:tcPr>
          <w:p>
            <w:pPr>
              <w:spacing w:after="0" w:line="142" w:lineRule="exact"/>
              <w:rPr>
                <w:sz w:val="20"/>
                <w:szCs w:val="20"/>
                <w:color w:val="auto"/>
              </w:rPr>
            </w:pPr>
            <w:r>
              <w:rPr>
                <w:rFonts w:ascii="Times New Roman" w:cs="Times New Roman" w:eastAsia="Times New Roman" w:hAnsi="Times New Roman"/>
                <w:sz w:val="14"/>
                <w:szCs w:val="14"/>
                <w:color w:val="auto"/>
              </w:rPr>
              <w:t>Capitalization.</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4.5</w:t>
            </w:r>
          </w:p>
        </w:tc>
        <w:tc>
          <w:tcPr>
            <w:tcW w:w="20" w:type="dxa"/>
            <w:vAlign w:val="bottom"/>
          </w:tcPr>
          <w:p>
            <w:pPr>
              <w:spacing w:after="0"/>
              <w:rPr>
                <w:sz w:val="12"/>
                <w:szCs w:val="12"/>
                <w:color w:val="auto"/>
              </w:rPr>
            </w:pPr>
          </w:p>
        </w:tc>
        <w:tc>
          <w:tcPr>
            <w:tcW w:w="820" w:type="dxa"/>
            <w:vAlign w:val="bottom"/>
            <w:tcBorders>
              <w:top w:val="single" w:sz="8" w:color="auto"/>
            </w:tcBorders>
            <w:gridSpan w:val="13"/>
          </w:tcPr>
          <w:p>
            <w:pPr>
              <w:spacing w:after="0" w:line="142" w:lineRule="exact"/>
              <w:rPr>
                <w:sz w:val="20"/>
                <w:szCs w:val="20"/>
                <w:color w:val="auto"/>
              </w:rPr>
            </w:pPr>
            <w:r>
              <w:rPr>
                <w:rFonts w:ascii="Times New Roman" w:cs="Times New Roman" w:eastAsia="Times New Roman" w:hAnsi="Times New Roman"/>
                <w:sz w:val="14"/>
                <w:szCs w:val="14"/>
                <w:color w:val="auto"/>
                <w:w w:val="90"/>
              </w:rPr>
              <w:t>Equity Interests</w:t>
            </w:r>
          </w:p>
        </w:tc>
        <w:tc>
          <w:tcPr>
            <w:tcW w:w="36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5"/>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580" w:type="dxa"/>
            <w:vAlign w:val="bottom"/>
            <w:gridSpan w:val="2"/>
            <w:vMerge w:val="restart"/>
          </w:tcPr>
          <w:p>
            <w:pPr>
              <w:jc w:val="right"/>
              <w:ind w:right="6368"/>
              <w:spacing w:after="0"/>
              <w:rPr>
                <w:sz w:val="20"/>
                <w:szCs w:val="20"/>
                <w:color w:val="auto"/>
              </w:rPr>
            </w:pPr>
            <w:r>
              <w:rPr>
                <w:rFonts w:ascii="Times New Roman" w:cs="Times New Roman" w:eastAsia="Times New Roman" w:hAnsi="Times New Roman"/>
                <w:sz w:val="14"/>
                <w:szCs w:val="14"/>
                <w:color w:val="auto"/>
                <w:w w:val="85"/>
              </w:rPr>
              <w:t>28</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5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Section 4.6</w:t>
            </w:r>
          </w:p>
        </w:tc>
        <w:tc>
          <w:tcPr>
            <w:tcW w:w="20" w:type="dxa"/>
            <w:vAlign w:val="bottom"/>
            <w:vMerge w:val="continue"/>
          </w:tcPr>
          <w:p>
            <w:pPr>
              <w:spacing w:after="0"/>
              <w:rPr>
                <w:sz w:val="12"/>
                <w:szCs w:val="12"/>
                <w:color w:val="auto"/>
              </w:rPr>
            </w:pPr>
          </w:p>
        </w:tc>
        <w:tc>
          <w:tcPr>
            <w:tcW w:w="3340" w:type="dxa"/>
            <w:vAlign w:val="bottom"/>
            <w:gridSpan w:val="42"/>
          </w:tcPr>
          <w:p>
            <w:pPr>
              <w:spacing w:after="0" w:line="142" w:lineRule="exact"/>
              <w:rPr>
                <w:sz w:val="20"/>
                <w:szCs w:val="20"/>
                <w:color w:val="auto"/>
              </w:rPr>
            </w:pPr>
            <w:r>
              <w:rPr>
                <w:rFonts w:ascii="Times New Roman" w:cs="Times New Roman" w:eastAsia="Times New Roman" w:hAnsi="Times New Roman"/>
                <w:sz w:val="14"/>
                <w:szCs w:val="14"/>
                <w:color w:val="auto"/>
              </w:rPr>
              <w:t>Financial Statements; No Undisclosed Liabilities.</w:t>
            </w:r>
          </w:p>
        </w:tc>
        <w:tc>
          <w:tcPr>
            <w:tcW w:w="6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4.7</w:t>
            </w:r>
          </w:p>
        </w:tc>
        <w:tc>
          <w:tcPr>
            <w:tcW w:w="20" w:type="dxa"/>
            <w:vAlign w:val="bottom"/>
          </w:tcPr>
          <w:p>
            <w:pPr>
              <w:spacing w:after="0"/>
              <w:rPr>
                <w:sz w:val="12"/>
                <w:szCs w:val="12"/>
                <w:color w:val="auto"/>
              </w:rPr>
            </w:pPr>
          </w:p>
        </w:tc>
        <w:tc>
          <w:tcPr>
            <w:tcW w:w="2720" w:type="dxa"/>
            <w:vAlign w:val="bottom"/>
            <w:tcBorders>
              <w:top w:val="single" w:sz="8" w:color="auto"/>
            </w:tcBorders>
            <w:gridSpan w:val="36"/>
          </w:tcPr>
          <w:p>
            <w:pPr>
              <w:spacing w:after="0" w:line="142" w:lineRule="exact"/>
              <w:rPr>
                <w:sz w:val="20"/>
                <w:szCs w:val="20"/>
                <w:color w:val="auto"/>
              </w:rPr>
            </w:pPr>
            <w:r>
              <w:rPr>
                <w:rFonts w:ascii="Times New Roman" w:cs="Times New Roman" w:eastAsia="Times New Roman" w:hAnsi="Times New Roman"/>
                <w:sz w:val="14"/>
                <w:szCs w:val="14"/>
                <w:color w:val="auto"/>
              </w:rPr>
              <w:t>Absence of Certain Changes or Events.</w:t>
            </w:r>
          </w:p>
        </w:tc>
        <w:tc>
          <w:tcPr>
            <w:tcW w:w="120" w:type="dxa"/>
            <w:vAlign w:val="bottom"/>
            <w:tcBorders>
              <w:top w:val="single" w:sz="8" w:color="auto"/>
            </w:tcBorders>
          </w:tcPr>
          <w:p>
            <w:pPr>
              <w:spacing w:after="0"/>
              <w:rPr>
                <w:sz w:val="12"/>
                <w:szCs w:val="12"/>
                <w:color w:val="auto"/>
              </w:rPr>
            </w:pPr>
          </w:p>
        </w:tc>
        <w:tc>
          <w:tcPr>
            <w:tcW w:w="42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4.8</w:t>
            </w:r>
          </w:p>
        </w:tc>
        <w:tc>
          <w:tcPr>
            <w:tcW w:w="20" w:type="dxa"/>
            <w:vAlign w:val="bottom"/>
          </w:tcPr>
          <w:p>
            <w:pPr>
              <w:spacing w:after="0"/>
              <w:rPr>
                <w:sz w:val="12"/>
                <w:szCs w:val="12"/>
                <w:color w:val="auto"/>
              </w:rPr>
            </w:pPr>
          </w:p>
        </w:tc>
        <w:tc>
          <w:tcPr>
            <w:tcW w:w="1880" w:type="dxa"/>
            <w:vAlign w:val="bottom"/>
            <w:tcBorders>
              <w:top w:val="single" w:sz="8" w:color="auto"/>
            </w:tcBorders>
            <w:gridSpan w:val="26"/>
          </w:tcPr>
          <w:p>
            <w:pPr>
              <w:spacing w:after="0" w:line="142" w:lineRule="exact"/>
              <w:rPr>
                <w:sz w:val="20"/>
                <w:szCs w:val="20"/>
                <w:color w:val="auto"/>
              </w:rPr>
            </w:pPr>
            <w:r>
              <w:rPr>
                <w:rFonts w:ascii="Times New Roman" w:cs="Times New Roman" w:eastAsia="Times New Roman" w:hAnsi="Times New Roman"/>
                <w:sz w:val="14"/>
                <w:szCs w:val="14"/>
                <w:color w:val="auto"/>
              </w:rPr>
              <w:t>Compliance with Law; Permits.</w:t>
            </w:r>
          </w:p>
        </w:tc>
        <w:tc>
          <w:tcPr>
            <w:tcW w:w="2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4.9</w:t>
            </w:r>
          </w:p>
        </w:tc>
        <w:tc>
          <w:tcPr>
            <w:tcW w:w="20" w:type="dxa"/>
            <w:vAlign w:val="bottom"/>
          </w:tcPr>
          <w:p>
            <w:pPr>
              <w:spacing w:after="0"/>
              <w:rPr>
                <w:sz w:val="12"/>
                <w:szCs w:val="12"/>
                <w:color w:val="auto"/>
              </w:rPr>
            </w:pPr>
          </w:p>
        </w:tc>
        <w:tc>
          <w:tcPr>
            <w:tcW w:w="1660" w:type="dxa"/>
            <w:vAlign w:val="bottom"/>
            <w:tcBorders>
              <w:top w:val="single" w:sz="8" w:color="auto"/>
            </w:tcBorders>
            <w:gridSpan w:val="24"/>
          </w:tcPr>
          <w:p>
            <w:pPr>
              <w:spacing w:after="0" w:line="142" w:lineRule="exact"/>
              <w:rPr>
                <w:sz w:val="20"/>
                <w:szCs w:val="20"/>
                <w:color w:val="auto"/>
              </w:rPr>
            </w:pPr>
            <w:r>
              <w:rPr>
                <w:rFonts w:ascii="Times New Roman" w:cs="Times New Roman" w:eastAsia="Times New Roman" w:hAnsi="Times New Roman"/>
                <w:sz w:val="14"/>
                <w:szCs w:val="14"/>
                <w:color w:val="auto"/>
              </w:rPr>
              <w:t>Litigation.</w:t>
            </w: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10"/>
            <w:vMerge w:val="restart"/>
          </w:tcPr>
          <w:p>
            <w:pPr>
              <w:jc w:val="right"/>
              <w:ind w:right="20"/>
              <w:spacing w:after="0" w:line="153"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20" w:type="dxa"/>
            <w:vAlign w:val="bottom"/>
          </w:tcPr>
          <w:p>
            <w:pPr>
              <w:spacing w:after="0"/>
              <w:rPr>
                <w:sz w:val="11"/>
                <w:szCs w:val="11"/>
                <w:color w:val="auto"/>
              </w:rPr>
            </w:pPr>
          </w:p>
        </w:tc>
        <w:tc>
          <w:tcPr>
            <w:tcW w:w="2340" w:type="dxa"/>
            <w:vAlign w:val="bottom"/>
            <w:gridSpan w:val="26"/>
          </w:tcPr>
          <w:p>
            <w:pPr>
              <w:spacing w:after="0" w:line="133" w:lineRule="exact"/>
              <w:rPr>
                <w:sz w:val="20"/>
                <w:szCs w:val="20"/>
                <w:color w:val="auto"/>
              </w:rPr>
            </w:pPr>
            <w:r>
              <w:rPr>
                <w:rFonts w:ascii="Times New Roman" w:cs="Times New Roman" w:eastAsia="Times New Roman" w:hAnsi="Times New Roman"/>
                <w:sz w:val="14"/>
                <w:szCs w:val="14"/>
                <w:color w:val="auto"/>
              </w:rPr>
              <w:t>Section 4.10 Employee Benefit Plans.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10"/>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w w:val="99"/>
              </w:rPr>
              <w:t>Section 4.11</w:t>
            </w: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Borders>
              <w:top w:val="single" w:sz="8" w:color="auto"/>
            </w:tcBorders>
            <w:gridSpan w:val="16"/>
          </w:tcPr>
          <w:p>
            <w:pPr>
              <w:spacing w:after="0" w:line="142" w:lineRule="exact"/>
              <w:rPr>
                <w:sz w:val="20"/>
                <w:szCs w:val="20"/>
                <w:color w:val="auto"/>
              </w:rPr>
            </w:pPr>
            <w:r>
              <w:rPr>
                <w:rFonts w:ascii="Times New Roman" w:cs="Times New Roman" w:eastAsia="Times New Roman" w:hAnsi="Times New Roman"/>
                <w:sz w:val="14"/>
                <w:szCs w:val="14"/>
                <w:color w:val="auto"/>
              </w:rPr>
              <w:t>Labor and Employment</w:t>
            </w:r>
          </w:p>
        </w:tc>
        <w:tc>
          <w:tcPr>
            <w:tcW w:w="1240" w:type="dxa"/>
            <w:vAlign w:val="bottom"/>
            <w:gridSpan w:val="15"/>
          </w:tcPr>
          <w:p>
            <w:pPr>
              <w:jc w:val="right"/>
              <w:ind w:right="760"/>
              <w:spacing w:after="0" w:line="142" w:lineRule="exact"/>
              <w:rPr>
                <w:sz w:val="20"/>
                <w:szCs w:val="20"/>
                <w:color w:val="auto"/>
              </w:rPr>
            </w:pPr>
            <w:r>
              <w:rPr>
                <w:rFonts w:ascii="Times New Roman" w:cs="Times New Roman" w:eastAsia="Times New Roman" w:hAnsi="Times New Roman"/>
                <w:sz w:val="14"/>
                <w:szCs w:val="14"/>
                <w:color w:val="auto"/>
                <w:w w:val="99"/>
              </w:rPr>
              <w:t>Matters.</w:t>
            </w:r>
          </w:p>
        </w:tc>
        <w:tc>
          <w:tcPr>
            <w:tcW w:w="42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42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w w:val="99"/>
              </w:rPr>
              <w:t>Section 4.12</w:t>
            </w:r>
          </w:p>
        </w:tc>
        <w:tc>
          <w:tcPr>
            <w:tcW w:w="4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20" w:type="dxa"/>
            <w:vAlign w:val="bottom"/>
            <w:gridSpan w:val="32"/>
          </w:tcPr>
          <w:p>
            <w:pPr>
              <w:spacing w:after="0" w:line="142" w:lineRule="exact"/>
              <w:rPr>
                <w:sz w:val="20"/>
                <w:szCs w:val="20"/>
                <w:color w:val="auto"/>
              </w:rPr>
            </w:pPr>
            <w:r>
              <w:rPr>
                <w:rFonts w:ascii="Times New Roman" w:cs="Times New Roman" w:eastAsia="Times New Roman" w:hAnsi="Times New Roman"/>
                <w:sz w:val="14"/>
                <w:szCs w:val="14"/>
                <w:color w:val="auto"/>
              </w:rPr>
              <w:t>Title to, Sufficiency and Condition of Assets.</w:t>
            </w:r>
          </w:p>
        </w:tc>
        <w:tc>
          <w:tcPr>
            <w:tcW w:w="720" w:type="dxa"/>
            <w:vAlign w:val="bottom"/>
            <w:gridSpan w:val="7"/>
            <w:vMerge w:val="continue"/>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4.13</w:t>
            </w:r>
          </w:p>
        </w:tc>
        <w:tc>
          <w:tcPr>
            <w:tcW w:w="40" w:type="dxa"/>
            <w:vAlign w:val="bottom"/>
            <w:gridSpan w:val="2"/>
          </w:tcPr>
          <w:p>
            <w:pPr>
              <w:spacing w:after="0"/>
              <w:rPr>
                <w:sz w:val="12"/>
                <w:szCs w:val="12"/>
                <w:color w:val="auto"/>
              </w:rPr>
            </w:pPr>
          </w:p>
        </w:tc>
        <w:tc>
          <w:tcPr>
            <w:tcW w:w="1540" w:type="dxa"/>
            <w:vAlign w:val="bottom"/>
            <w:tcBorders>
              <w:top w:val="single" w:sz="8" w:color="auto"/>
            </w:tcBorders>
            <w:gridSpan w:val="19"/>
          </w:tcPr>
          <w:p>
            <w:pPr>
              <w:spacing w:after="0" w:line="142" w:lineRule="exact"/>
              <w:rPr>
                <w:sz w:val="20"/>
                <w:szCs w:val="20"/>
                <w:color w:val="auto"/>
              </w:rPr>
            </w:pPr>
            <w:r>
              <w:rPr>
                <w:rFonts w:ascii="Times New Roman" w:cs="Times New Roman" w:eastAsia="Times New Roman" w:hAnsi="Times New Roman"/>
                <w:sz w:val="14"/>
                <w:szCs w:val="14"/>
                <w:color w:val="auto"/>
              </w:rPr>
              <w:t>Real Property.</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5"/>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4.14</w:t>
            </w:r>
          </w:p>
        </w:tc>
        <w:tc>
          <w:tcPr>
            <w:tcW w:w="40" w:type="dxa"/>
            <w:vAlign w:val="bottom"/>
            <w:gridSpan w:val="2"/>
          </w:tcPr>
          <w:p>
            <w:pPr>
              <w:spacing w:after="0"/>
              <w:rPr>
                <w:sz w:val="12"/>
                <w:szCs w:val="12"/>
                <w:color w:val="auto"/>
              </w:rPr>
            </w:pPr>
          </w:p>
        </w:tc>
        <w:tc>
          <w:tcPr>
            <w:tcW w:w="800" w:type="dxa"/>
            <w:vAlign w:val="bottom"/>
            <w:tcBorders>
              <w:top w:val="single" w:sz="8" w:color="auto"/>
            </w:tcBorders>
            <w:gridSpan w:val="9"/>
          </w:tcPr>
          <w:p>
            <w:pPr>
              <w:spacing w:after="0" w:line="142" w:lineRule="exact"/>
              <w:rPr>
                <w:sz w:val="20"/>
                <w:szCs w:val="20"/>
                <w:color w:val="auto"/>
              </w:rPr>
            </w:pPr>
            <w:r>
              <w:rPr>
                <w:rFonts w:ascii="Times New Roman" w:cs="Times New Roman" w:eastAsia="Times New Roman" w:hAnsi="Times New Roman"/>
                <w:sz w:val="14"/>
                <w:szCs w:val="14"/>
                <w:color w:val="auto"/>
              </w:rPr>
              <w:t>Intellectual</w:t>
            </w:r>
          </w:p>
        </w:tc>
        <w:tc>
          <w:tcPr>
            <w:tcW w:w="2420" w:type="dxa"/>
            <w:vAlign w:val="bottom"/>
            <w:gridSpan w:val="28"/>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w w:val="94"/>
              </w:rPr>
              <w:t>Property and Information Technology.</w:t>
            </w:r>
          </w:p>
        </w:tc>
        <w:tc>
          <w:tcPr>
            <w:tcW w:w="100" w:type="dxa"/>
            <w:vAlign w:val="bottom"/>
          </w:tcPr>
          <w:p>
            <w:pPr>
              <w:spacing w:after="0"/>
              <w:rPr>
                <w:sz w:val="12"/>
                <w:szCs w:val="12"/>
                <w:color w:val="auto"/>
              </w:rPr>
            </w:pPr>
          </w:p>
        </w:tc>
        <w:tc>
          <w:tcPr>
            <w:tcW w:w="6480" w:type="dxa"/>
            <w:vAlign w:val="bottom"/>
          </w:tcPr>
          <w:p>
            <w:pPr>
              <w:jc w:val="right"/>
              <w:ind w:right="6268"/>
              <w:spacing w:after="0" w:line="142" w:lineRule="exact"/>
              <w:rPr>
                <w:sz w:val="20"/>
                <w:szCs w:val="20"/>
                <w:color w:val="auto"/>
              </w:rPr>
            </w:pPr>
            <w:r>
              <w:rPr>
                <w:rFonts w:ascii="Times New Roman" w:cs="Times New Roman" w:eastAsia="Times New Roman" w:hAnsi="Times New Roman"/>
                <w:sz w:val="14"/>
                <w:szCs w:val="14"/>
                <w:color w:val="auto"/>
                <w:w w:val="85"/>
              </w:rPr>
              <w:t>39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4.15</w:t>
            </w:r>
          </w:p>
        </w:tc>
        <w:tc>
          <w:tcPr>
            <w:tcW w:w="40" w:type="dxa"/>
            <w:vAlign w:val="bottom"/>
            <w:gridSpan w:val="2"/>
          </w:tcPr>
          <w:p>
            <w:pPr>
              <w:spacing w:after="0"/>
              <w:rPr>
                <w:sz w:val="12"/>
                <w:szCs w:val="12"/>
                <w:color w:val="auto"/>
              </w:rPr>
            </w:pPr>
          </w:p>
        </w:tc>
        <w:tc>
          <w:tcPr>
            <w:tcW w:w="1540" w:type="dxa"/>
            <w:vAlign w:val="bottom"/>
            <w:tcBorders>
              <w:top w:val="single" w:sz="8" w:color="auto"/>
            </w:tcBorders>
            <w:gridSpan w:val="19"/>
          </w:tcPr>
          <w:p>
            <w:pPr>
              <w:spacing w:after="0" w:line="142" w:lineRule="exact"/>
              <w:rPr>
                <w:sz w:val="20"/>
                <w:szCs w:val="20"/>
                <w:color w:val="auto"/>
              </w:rPr>
            </w:pPr>
            <w:r>
              <w:rPr>
                <w:rFonts w:ascii="Times New Roman" w:cs="Times New Roman" w:eastAsia="Times New Roman" w:hAnsi="Times New Roman"/>
                <w:sz w:val="14"/>
                <w:szCs w:val="14"/>
                <w:color w:val="auto"/>
              </w:rPr>
              <w:t>Taxes.</w:t>
            </w:r>
          </w:p>
        </w:tc>
        <w:tc>
          <w:tcPr>
            <w:tcW w:w="440" w:type="dxa"/>
            <w:vAlign w:val="bottom"/>
            <w:tcBorders>
              <w:top w:val="single" w:sz="8" w:color="auto"/>
            </w:tcBorders>
            <w:gridSpan w:val="4"/>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9"/>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4.16</w:t>
            </w:r>
          </w:p>
        </w:tc>
        <w:tc>
          <w:tcPr>
            <w:tcW w:w="40" w:type="dxa"/>
            <w:vAlign w:val="bottom"/>
            <w:gridSpan w:val="2"/>
            <w:vMerge w:val="continue"/>
          </w:tcPr>
          <w:p>
            <w:pPr>
              <w:spacing w:after="0"/>
              <w:rPr>
                <w:sz w:val="12"/>
                <w:szCs w:val="12"/>
                <w:color w:val="auto"/>
              </w:rPr>
            </w:pPr>
          </w:p>
        </w:tc>
        <w:tc>
          <w:tcPr>
            <w:tcW w:w="1540" w:type="dxa"/>
            <w:vAlign w:val="bottom"/>
            <w:gridSpan w:val="19"/>
          </w:tcPr>
          <w:p>
            <w:pPr>
              <w:spacing w:after="0" w:line="142" w:lineRule="exact"/>
              <w:rPr>
                <w:sz w:val="20"/>
                <w:szCs w:val="20"/>
                <w:color w:val="auto"/>
              </w:rPr>
            </w:pPr>
            <w:r>
              <w:rPr>
                <w:rFonts w:ascii="Times New Roman" w:cs="Times New Roman" w:eastAsia="Times New Roman" w:hAnsi="Times New Roman"/>
                <w:sz w:val="14"/>
                <w:szCs w:val="14"/>
                <w:color w:val="auto"/>
              </w:rPr>
              <w:t>Environmental Matters.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9"/>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4.17</w:t>
            </w:r>
          </w:p>
        </w:tc>
        <w:tc>
          <w:tcPr>
            <w:tcW w:w="40" w:type="dxa"/>
            <w:vAlign w:val="bottom"/>
            <w:gridSpan w:val="2"/>
          </w:tcPr>
          <w:p>
            <w:pPr>
              <w:spacing w:after="0"/>
              <w:rPr>
                <w:sz w:val="12"/>
                <w:szCs w:val="12"/>
                <w:color w:val="auto"/>
              </w:rPr>
            </w:pPr>
          </w:p>
        </w:tc>
        <w:tc>
          <w:tcPr>
            <w:tcW w:w="1300" w:type="dxa"/>
            <w:vAlign w:val="bottom"/>
            <w:tcBorders>
              <w:top w:val="single" w:sz="8" w:color="auto"/>
            </w:tcBorders>
            <w:gridSpan w:val="15"/>
          </w:tcPr>
          <w:p>
            <w:pPr>
              <w:spacing w:after="0" w:line="142" w:lineRule="exact"/>
              <w:rPr>
                <w:sz w:val="20"/>
                <w:szCs w:val="20"/>
                <w:color w:val="auto"/>
              </w:rPr>
            </w:pPr>
            <w:r>
              <w:rPr>
                <w:rFonts w:ascii="Times New Roman" w:cs="Times New Roman" w:eastAsia="Times New Roman" w:hAnsi="Times New Roman"/>
                <w:sz w:val="14"/>
                <w:szCs w:val="14"/>
                <w:color w:val="auto"/>
              </w:rPr>
              <w:t>Material Contracts.</w:t>
            </w:r>
          </w:p>
        </w:tc>
        <w:tc>
          <w:tcPr>
            <w:tcW w:w="10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8"/>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4.18</w:t>
            </w:r>
          </w:p>
        </w:tc>
        <w:tc>
          <w:tcPr>
            <w:tcW w:w="40" w:type="dxa"/>
            <w:vAlign w:val="bottom"/>
            <w:gridSpan w:val="2"/>
          </w:tcPr>
          <w:p>
            <w:pPr>
              <w:spacing w:after="0"/>
              <w:rPr>
                <w:sz w:val="12"/>
                <w:szCs w:val="12"/>
                <w:color w:val="auto"/>
              </w:rPr>
            </w:pPr>
          </w:p>
        </w:tc>
        <w:tc>
          <w:tcPr>
            <w:tcW w:w="1060" w:type="dxa"/>
            <w:vAlign w:val="bottom"/>
            <w:tcBorders>
              <w:top w:val="single" w:sz="8" w:color="auto"/>
            </w:tcBorders>
            <w:gridSpan w:val="11"/>
          </w:tcPr>
          <w:p>
            <w:pPr>
              <w:spacing w:after="0" w:line="142" w:lineRule="exact"/>
              <w:rPr>
                <w:sz w:val="20"/>
                <w:szCs w:val="20"/>
                <w:color w:val="auto"/>
              </w:rPr>
            </w:pPr>
            <w:r>
              <w:rPr>
                <w:rFonts w:ascii="Times New Roman" w:cs="Times New Roman" w:eastAsia="Times New Roman" w:hAnsi="Times New Roman"/>
                <w:sz w:val="14"/>
                <w:szCs w:val="14"/>
                <w:color w:val="auto"/>
              </w:rPr>
              <w:t>Affiliate Interests</w:t>
            </w:r>
          </w:p>
        </w:tc>
        <w:tc>
          <w:tcPr>
            <w:tcW w:w="1540" w:type="dxa"/>
            <w:vAlign w:val="bottom"/>
            <w:gridSpan w:val="20"/>
          </w:tcPr>
          <w:p>
            <w:pPr>
              <w:jc w:val="right"/>
              <w:ind w:right="580"/>
              <w:spacing w:after="0" w:line="142" w:lineRule="exact"/>
              <w:rPr>
                <w:sz w:val="20"/>
                <w:szCs w:val="20"/>
                <w:color w:val="auto"/>
              </w:rPr>
            </w:pPr>
            <w:r>
              <w:rPr>
                <w:rFonts w:ascii="Times New Roman" w:cs="Times New Roman" w:eastAsia="Times New Roman" w:hAnsi="Times New Roman"/>
                <w:sz w:val="14"/>
                <w:szCs w:val="14"/>
                <w:color w:val="auto"/>
                <w:w w:val="95"/>
              </w:rPr>
              <w:t>and Transactions.</w:t>
            </w:r>
          </w:p>
        </w:tc>
        <w:tc>
          <w:tcPr>
            <w:tcW w:w="42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20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4.19</w:t>
            </w:r>
          </w:p>
        </w:tc>
        <w:tc>
          <w:tcPr>
            <w:tcW w:w="40" w:type="dxa"/>
            <w:vAlign w:val="bottom"/>
            <w:gridSpan w:val="2"/>
            <w:vMerge w:val="continue"/>
          </w:tcPr>
          <w:p>
            <w:pPr>
              <w:spacing w:after="0"/>
              <w:rPr>
                <w:sz w:val="12"/>
                <w:szCs w:val="12"/>
                <w:color w:val="auto"/>
              </w:rPr>
            </w:pPr>
          </w:p>
        </w:tc>
        <w:tc>
          <w:tcPr>
            <w:tcW w:w="1540" w:type="dxa"/>
            <w:vAlign w:val="bottom"/>
            <w:gridSpan w:val="19"/>
          </w:tcPr>
          <w:p>
            <w:pPr>
              <w:spacing w:after="0" w:line="142" w:lineRule="exact"/>
              <w:rPr>
                <w:sz w:val="20"/>
                <w:szCs w:val="20"/>
                <w:color w:val="auto"/>
              </w:rPr>
            </w:pPr>
            <w:r>
              <w:rPr>
                <w:rFonts w:ascii="Times New Roman" w:cs="Times New Roman" w:eastAsia="Times New Roman" w:hAnsi="Times New Roman"/>
                <w:sz w:val="14"/>
                <w:szCs w:val="14"/>
                <w:color w:val="auto"/>
              </w:rPr>
              <w:t>Insurance.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4.20</w:t>
            </w:r>
          </w:p>
        </w:tc>
        <w:tc>
          <w:tcPr>
            <w:tcW w:w="40" w:type="dxa"/>
            <w:vAlign w:val="bottom"/>
            <w:gridSpan w:val="2"/>
            <w:vMerge w:val="continue"/>
          </w:tcPr>
          <w:p>
            <w:pPr>
              <w:spacing w:after="0"/>
              <w:rPr>
                <w:sz w:val="12"/>
                <w:szCs w:val="12"/>
                <w:color w:val="auto"/>
              </w:rPr>
            </w:pPr>
          </w:p>
        </w:tc>
        <w:tc>
          <w:tcPr>
            <w:tcW w:w="2600" w:type="dxa"/>
            <w:vAlign w:val="bottom"/>
            <w:gridSpan w:val="31"/>
          </w:tcPr>
          <w:p>
            <w:pPr>
              <w:spacing w:after="0" w:line="142" w:lineRule="exact"/>
              <w:rPr>
                <w:sz w:val="20"/>
                <w:szCs w:val="20"/>
                <w:color w:val="auto"/>
              </w:rPr>
            </w:pPr>
            <w:r>
              <w:rPr>
                <w:rFonts w:ascii="Times New Roman" w:cs="Times New Roman" w:eastAsia="Times New Roman" w:hAnsi="Times New Roman"/>
                <w:sz w:val="14"/>
                <w:szCs w:val="14"/>
                <w:color w:val="auto"/>
              </w:rPr>
              <w:t>Data Privacy and Cybersecurity.</w:t>
            </w:r>
          </w:p>
        </w:tc>
        <w:tc>
          <w:tcPr>
            <w:tcW w:w="420" w:type="dxa"/>
            <w:vAlign w:val="bottom"/>
            <w:gridSpan w:val="3"/>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760" w:type="dxa"/>
            <w:vAlign w:val="bottom"/>
            <w:tcBorders>
              <w:top w:val="single" w:sz="8" w:color="auto"/>
            </w:tcBorders>
            <w:gridSpan w:val="5"/>
          </w:tcPr>
          <w:p>
            <w:pPr>
              <w:spacing w:after="0" w:line="133" w:lineRule="exact"/>
              <w:rPr>
                <w:sz w:val="20"/>
                <w:szCs w:val="20"/>
                <w:color w:val="auto"/>
              </w:rPr>
            </w:pPr>
            <w:r>
              <w:rPr>
                <w:rFonts w:ascii="Times New Roman" w:cs="Times New Roman" w:eastAsia="Times New Roman" w:hAnsi="Times New Roman"/>
                <w:sz w:val="14"/>
                <w:szCs w:val="14"/>
                <w:color w:val="auto"/>
              </w:rPr>
              <w:t>Section 4.21</w:t>
            </w:r>
          </w:p>
        </w:tc>
        <w:tc>
          <w:tcPr>
            <w:tcW w:w="40" w:type="dxa"/>
            <w:vAlign w:val="bottom"/>
            <w:gridSpan w:val="2"/>
          </w:tcPr>
          <w:p>
            <w:pPr>
              <w:spacing w:after="0"/>
              <w:rPr>
                <w:sz w:val="11"/>
                <w:szCs w:val="11"/>
                <w:color w:val="auto"/>
              </w:rPr>
            </w:pPr>
          </w:p>
        </w:tc>
        <w:tc>
          <w:tcPr>
            <w:tcW w:w="1540" w:type="dxa"/>
            <w:vAlign w:val="bottom"/>
            <w:tcBorders>
              <w:top w:val="single" w:sz="8" w:color="auto"/>
            </w:tcBorders>
            <w:gridSpan w:val="19"/>
          </w:tcPr>
          <w:p>
            <w:pPr>
              <w:spacing w:after="0" w:line="133" w:lineRule="exact"/>
              <w:rPr>
                <w:sz w:val="20"/>
                <w:szCs w:val="20"/>
                <w:color w:val="auto"/>
              </w:rPr>
            </w:pPr>
            <w:r>
              <w:rPr>
                <w:rFonts w:ascii="Times New Roman" w:cs="Times New Roman" w:eastAsia="Times New Roman" w:hAnsi="Times New Roman"/>
                <w:sz w:val="14"/>
                <w:szCs w:val="14"/>
                <w:color w:val="auto"/>
              </w:rPr>
              <w:t>Customers and Suppliers.</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gridSpan w:val="10"/>
          </w:tcPr>
          <w:p>
            <w:pPr>
              <w:jc w:val="right"/>
              <w:ind w:right="28"/>
              <w:spacing w:after="0" w:line="133" w:lineRule="exact"/>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4.22</w:t>
            </w:r>
          </w:p>
        </w:tc>
        <w:tc>
          <w:tcPr>
            <w:tcW w:w="40" w:type="dxa"/>
            <w:vAlign w:val="bottom"/>
            <w:gridSpan w:val="2"/>
          </w:tcPr>
          <w:p>
            <w:pPr>
              <w:spacing w:after="0"/>
              <w:rPr>
                <w:sz w:val="12"/>
                <w:szCs w:val="12"/>
                <w:color w:val="auto"/>
              </w:rPr>
            </w:pPr>
          </w:p>
        </w:tc>
        <w:tc>
          <w:tcPr>
            <w:tcW w:w="1400" w:type="dxa"/>
            <w:vAlign w:val="bottom"/>
            <w:tcBorders>
              <w:top w:val="single" w:sz="8" w:color="auto"/>
            </w:tcBorders>
            <w:gridSpan w:val="18"/>
          </w:tcPr>
          <w:p>
            <w:pPr>
              <w:spacing w:after="0" w:line="142" w:lineRule="exact"/>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5"/>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4.23</w:t>
            </w:r>
          </w:p>
        </w:tc>
        <w:tc>
          <w:tcPr>
            <w:tcW w:w="40" w:type="dxa"/>
            <w:vAlign w:val="bottom"/>
            <w:gridSpan w:val="2"/>
          </w:tcPr>
          <w:p>
            <w:pPr>
              <w:spacing w:after="0"/>
              <w:rPr>
                <w:sz w:val="12"/>
                <w:szCs w:val="12"/>
                <w:color w:val="auto"/>
              </w:rPr>
            </w:pPr>
          </w:p>
        </w:tc>
        <w:tc>
          <w:tcPr>
            <w:tcW w:w="620" w:type="dxa"/>
            <w:vAlign w:val="bottom"/>
            <w:tcBorders>
              <w:top w:val="single" w:sz="8" w:color="auto"/>
            </w:tcBorders>
            <w:gridSpan w:val="6"/>
          </w:tcPr>
          <w:p>
            <w:pPr>
              <w:spacing w:after="0" w:line="142" w:lineRule="exact"/>
              <w:rPr>
                <w:sz w:val="20"/>
                <w:szCs w:val="20"/>
                <w:color w:val="auto"/>
              </w:rPr>
            </w:pPr>
            <w:r>
              <w:rPr>
                <w:rFonts w:ascii="Times New Roman" w:cs="Times New Roman" w:eastAsia="Times New Roman" w:hAnsi="Times New Roman"/>
                <w:sz w:val="14"/>
                <w:szCs w:val="14"/>
                <w:color w:val="auto"/>
              </w:rPr>
              <w:t>Accounts</w:t>
            </w:r>
          </w:p>
        </w:tc>
        <w:tc>
          <w:tcPr>
            <w:tcW w:w="920" w:type="dxa"/>
            <w:vAlign w:val="bottom"/>
            <w:gridSpan w:val="13"/>
          </w:tcPr>
          <w:p>
            <w:pPr>
              <w:spacing w:after="0" w:line="142" w:lineRule="exact"/>
              <w:rPr>
                <w:sz w:val="20"/>
                <w:szCs w:val="20"/>
                <w:color w:val="auto"/>
              </w:rPr>
            </w:pPr>
            <w:r>
              <w:rPr>
                <w:rFonts w:ascii="Times New Roman" w:cs="Times New Roman" w:eastAsia="Times New Roman" w:hAnsi="Times New Roman"/>
                <w:sz w:val="14"/>
                <w:szCs w:val="14"/>
                <w:color w:val="auto"/>
              </w:rPr>
              <w:t>Receivable.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8"/>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560" w:type="dxa"/>
            <w:vAlign w:val="bottom"/>
            <w:gridSpan w:val="6"/>
            <w:shd w:val="clear" w:color="auto" w:fill="000000"/>
          </w:tcPr>
          <w:p>
            <w:pPr>
              <w:spacing w:after="0" w:line="20" w:lineRule="exact"/>
              <w:rPr>
                <w:sz w:val="1"/>
                <w:szCs w:val="1"/>
                <w:color w:val="auto"/>
              </w:rPr>
            </w:pPr>
          </w:p>
        </w:tc>
        <w:tc>
          <w:tcPr>
            <w:tcW w:w="900" w:type="dxa"/>
            <w:vAlign w:val="bottom"/>
            <w:gridSpan w:val="11"/>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4.24</w:t>
            </w:r>
          </w:p>
        </w:tc>
        <w:tc>
          <w:tcPr>
            <w:tcW w:w="40" w:type="dxa"/>
            <w:vAlign w:val="bottom"/>
            <w:gridSpan w:val="2"/>
            <w:vMerge w:val="continue"/>
          </w:tcPr>
          <w:p>
            <w:pPr>
              <w:spacing w:after="0"/>
              <w:rPr>
                <w:sz w:val="12"/>
                <w:szCs w:val="12"/>
                <w:color w:val="auto"/>
              </w:rPr>
            </w:pPr>
          </w:p>
        </w:tc>
        <w:tc>
          <w:tcPr>
            <w:tcW w:w="2600" w:type="dxa"/>
            <w:vAlign w:val="bottom"/>
            <w:gridSpan w:val="31"/>
          </w:tcPr>
          <w:p>
            <w:pPr>
              <w:spacing w:after="0" w:line="142" w:lineRule="exact"/>
              <w:rPr>
                <w:sz w:val="20"/>
                <w:szCs w:val="20"/>
                <w:color w:val="auto"/>
              </w:rPr>
            </w:pPr>
            <w:r>
              <w:rPr>
                <w:rFonts w:ascii="Times New Roman" w:cs="Times New Roman" w:eastAsia="Times New Roman" w:hAnsi="Times New Roman"/>
                <w:sz w:val="14"/>
                <w:szCs w:val="14"/>
                <w:color w:val="auto"/>
              </w:rPr>
              <w:t>Bank Accounts; Powers of Attorney.</w:t>
            </w:r>
          </w:p>
        </w:tc>
        <w:tc>
          <w:tcPr>
            <w:tcW w:w="420" w:type="dxa"/>
            <w:vAlign w:val="bottom"/>
            <w:gridSpan w:val="3"/>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4.25</w:t>
            </w:r>
          </w:p>
        </w:tc>
        <w:tc>
          <w:tcPr>
            <w:tcW w:w="40" w:type="dxa"/>
            <w:vAlign w:val="bottom"/>
            <w:gridSpan w:val="2"/>
          </w:tcPr>
          <w:p>
            <w:pPr>
              <w:spacing w:after="0"/>
              <w:rPr>
                <w:sz w:val="12"/>
                <w:szCs w:val="12"/>
                <w:color w:val="auto"/>
              </w:rPr>
            </w:pPr>
          </w:p>
        </w:tc>
        <w:tc>
          <w:tcPr>
            <w:tcW w:w="1540" w:type="dxa"/>
            <w:vAlign w:val="bottom"/>
            <w:tcBorders>
              <w:top w:val="single" w:sz="8" w:color="auto"/>
            </w:tcBorders>
            <w:gridSpan w:val="19"/>
          </w:tcPr>
          <w:p>
            <w:pPr>
              <w:spacing w:after="0" w:line="142" w:lineRule="exact"/>
              <w:rPr>
                <w:sz w:val="20"/>
                <w:szCs w:val="20"/>
                <w:color w:val="auto"/>
              </w:rPr>
            </w:pPr>
            <w:r>
              <w:rPr>
                <w:rFonts w:ascii="Times New Roman" w:cs="Times New Roman" w:eastAsia="Times New Roman" w:hAnsi="Times New Roman"/>
                <w:sz w:val="14"/>
                <w:szCs w:val="14"/>
                <w:color w:val="auto"/>
              </w:rPr>
              <w:t>Brokers.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53</w:t>
            </w:r>
          </w:p>
        </w:tc>
        <w:tc>
          <w:tcPr>
            <w:tcW w:w="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20" w:type="dxa"/>
            <w:vAlign w:val="bottom"/>
            <w:gridSpan w:val="2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20" w:type="dxa"/>
            <w:vAlign w:val="bottom"/>
            <w:gridSpan w:val="6"/>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4.26</w:t>
            </w:r>
          </w:p>
        </w:tc>
        <w:tc>
          <w:tcPr>
            <w:tcW w:w="40" w:type="dxa"/>
            <w:vAlign w:val="bottom"/>
            <w:gridSpan w:val="2"/>
            <w:vMerge w:val="continue"/>
          </w:tcPr>
          <w:p>
            <w:pPr>
              <w:spacing w:after="0"/>
              <w:rPr>
                <w:sz w:val="12"/>
                <w:szCs w:val="12"/>
                <w:color w:val="auto"/>
              </w:rPr>
            </w:pPr>
          </w:p>
        </w:tc>
        <w:tc>
          <w:tcPr>
            <w:tcW w:w="2600" w:type="dxa"/>
            <w:vAlign w:val="bottom"/>
            <w:gridSpan w:val="31"/>
          </w:tcPr>
          <w:p>
            <w:pPr>
              <w:spacing w:after="0" w:line="142" w:lineRule="exact"/>
              <w:rPr>
                <w:sz w:val="20"/>
                <w:szCs w:val="20"/>
                <w:color w:val="auto"/>
              </w:rPr>
            </w:pPr>
            <w:r>
              <w:rPr>
                <w:rFonts w:ascii="Times New Roman" w:cs="Times New Roman" w:eastAsia="Times New Roman" w:hAnsi="Times New Roman"/>
                <w:sz w:val="14"/>
                <w:szCs w:val="14"/>
                <w:color w:val="auto"/>
              </w:rPr>
              <w:t>No Other Representations or Warranties.</w:t>
            </w:r>
          </w:p>
        </w:tc>
        <w:tc>
          <w:tcPr>
            <w:tcW w:w="62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Article</w:t>
            </w:r>
          </w:p>
        </w:tc>
        <w:tc>
          <w:tcPr>
            <w:tcW w:w="660" w:type="dxa"/>
            <w:vAlign w:val="bottom"/>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620" w:type="dxa"/>
            <w:vAlign w:val="bottom"/>
            <w:gridSpan w:val="20"/>
            <w:shd w:val="clear" w:color="auto" w:fill="000000"/>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80" w:type="dxa"/>
            <w:vAlign w:val="bottom"/>
            <w:vMerge w:val="restart"/>
          </w:tcPr>
          <w:p>
            <w:pPr>
              <w:jc w:val="right"/>
              <w:ind w:right="6008"/>
              <w:spacing w:after="0"/>
              <w:rPr>
                <w:sz w:val="20"/>
                <w:szCs w:val="20"/>
                <w:color w:val="auto"/>
              </w:rPr>
            </w:pPr>
            <w:r>
              <w:rPr>
                <w:rFonts w:ascii="Times New Roman" w:cs="Times New Roman" w:eastAsia="Times New Roman" w:hAnsi="Times New Roman"/>
                <w:sz w:val="14"/>
                <w:szCs w:val="14"/>
                <w:color w:val="auto"/>
              </w:rPr>
              <w:t>54</w:t>
            </w: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vMerge w:val="continue"/>
          </w:tcPr>
          <w:p>
            <w:pPr>
              <w:spacing w:after="0"/>
              <w:rPr>
                <w:sz w:val="12"/>
                <w:szCs w:val="12"/>
                <w:color w:val="auto"/>
              </w:rPr>
            </w:pPr>
          </w:p>
        </w:tc>
        <w:tc>
          <w:tcPr>
            <w:tcW w:w="4020" w:type="dxa"/>
            <w:vAlign w:val="bottom"/>
            <w:gridSpan w:val="44"/>
          </w:tcPr>
          <w:p>
            <w:pPr>
              <w:spacing w:after="0" w:line="142" w:lineRule="exact"/>
              <w:rPr>
                <w:sz w:val="20"/>
                <w:szCs w:val="20"/>
                <w:color w:val="auto"/>
              </w:rPr>
            </w:pPr>
            <w:r>
              <w:rPr>
                <w:rFonts w:ascii="Times New Roman" w:cs="Times New Roman" w:eastAsia="Times New Roman" w:hAnsi="Times New Roman"/>
                <w:sz w:val="14"/>
                <w:szCs w:val="14"/>
                <w:color w:val="auto"/>
              </w:rPr>
              <w:t>V REPRESENTATIONS AND WARRANTIES OF THE BUYER..</w:t>
            </w:r>
          </w:p>
        </w:tc>
        <w:tc>
          <w:tcPr>
            <w:tcW w:w="100" w:type="dxa"/>
            <w:vAlign w:val="bottom"/>
          </w:tcPr>
          <w:p>
            <w:pPr>
              <w:spacing w:after="0"/>
              <w:rPr>
                <w:sz w:val="12"/>
                <w:szCs w:val="12"/>
                <w:color w:val="auto"/>
              </w:rPr>
            </w:pPr>
          </w:p>
        </w:tc>
        <w:tc>
          <w:tcPr>
            <w:tcW w:w="6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26"/>
          </w:tcPr>
          <w:p>
            <w:pPr>
              <w:spacing w:after="0" w:line="142" w:lineRule="exact"/>
              <w:rPr>
                <w:sz w:val="20"/>
                <w:szCs w:val="20"/>
                <w:color w:val="auto"/>
              </w:rPr>
            </w:pPr>
            <w:r>
              <w:rPr>
                <w:rFonts w:ascii="Times New Roman" w:cs="Times New Roman" w:eastAsia="Times New Roman" w:hAnsi="Times New Roman"/>
                <w:sz w:val="14"/>
                <w:szCs w:val="14"/>
                <w:color w:val="auto"/>
              </w:rPr>
              <w:t>Section 5.1 Organization.</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54</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5.2</w:t>
            </w:r>
          </w:p>
        </w:tc>
        <w:tc>
          <w:tcPr>
            <w:tcW w:w="20" w:type="dxa"/>
            <w:vAlign w:val="bottom"/>
          </w:tcPr>
          <w:p>
            <w:pPr>
              <w:spacing w:after="0"/>
              <w:rPr>
                <w:sz w:val="12"/>
                <w:szCs w:val="12"/>
                <w:color w:val="auto"/>
              </w:rPr>
            </w:pPr>
          </w:p>
        </w:tc>
        <w:tc>
          <w:tcPr>
            <w:tcW w:w="760" w:type="dxa"/>
            <w:vAlign w:val="bottom"/>
            <w:tcBorders>
              <w:top w:val="single" w:sz="8" w:color="auto"/>
            </w:tcBorders>
            <w:gridSpan w:val="12"/>
          </w:tcPr>
          <w:p>
            <w:pPr>
              <w:spacing w:after="0" w:line="142" w:lineRule="exact"/>
              <w:rPr>
                <w:sz w:val="20"/>
                <w:szCs w:val="20"/>
                <w:color w:val="auto"/>
              </w:rPr>
            </w:pPr>
            <w:r>
              <w:rPr>
                <w:rFonts w:ascii="Times New Roman" w:cs="Times New Roman" w:eastAsia="Times New Roman" w:hAnsi="Times New Roman"/>
                <w:sz w:val="14"/>
                <w:szCs w:val="14"/>
                <w:color w:val="auto"/>
              </w:rPr>
              <w:t>Authority.</w:t>
            </w:r>
          </w:p>
        </w:tc>
        <w:tc>
          <w:tcPr>
            <w:tcW w:w="900" w:type="dxa"/>
            <w:vAlign w:val="bottom"/>
            <w:gridSpan w:val="12"/>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0" w:type="dxa"/>
            <w:vAlign w:val="bottom"/>
            <w:gridSpan w:val="9"/>
            <w:shd w:val="clear" w:color="auto" w:fill="000000"/>
          </w:tcPr>
          <w:p>
            <w:pPr>
              <w:spacing w:after="0" w:line="20" w:lineRule="exact"/>
              <w:rPr>
                <w:sz w:val="1"/>
                <w:szCs w:val="1"/>
                <w:color w:val="auto"/>
              </w:rPr>
            </w:pPr>
          </w:p>
        </w:tc>
        <w:tc>
          <w:tcPr>
            <w:tcW w:w="2180" w:type="dxa"/>
            <w:vAlign w:val="bottom"/>
            <w:gridSpan w:val="27"/>
          </w:tcPr>
          <w:p>
            <w:pPr>
              <w:spacing w:after="0" w:line="20" w:lineRule="exact"/>
              <w:rPr>
                <w:sz w:val="1"/>
                <w:szCs w:val="1"/>
                <w:color w:val="auto"/>
              </w:rPr>
            </w:pPr>
          </w:p>
        </w:tc>
        <w:tc>
          <w:tcPr>
            <w:tcW w:w="620" w:type="dxa"/>
            <w:vAlign w:val="bottom"/>
            <w:gridSpan w:val="6"/>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Section 5.3</w:t>
            </w:r>
          </w:p>
        </w:tc>
        <w:tc>
          <w:tcPr>
            <w:tcW w:w="20" w:type="dxa"/>
            <w:vAlign w:val="bottom"/>
            <w:vMerge w:val="continue"/>
          </w:tcPr>
          <w:p>
            <w:pPr>
              <w:spacing w:after="0"/>
              <w:rPr>
                <w:sz w:val="12"/>
                <w:szCs w:val="12"/>
                <w:color w:val="auto"/>
              </w:rPr>
            </w:pPr>
          </w:p>
        </w:tc>
        <w:tc>
          <w:tcPr>
            <w:tcW w:w="2720" w:type="dxa"/>
            <w:vAlign w:val="bottom"/>
            <w:gridSpan w:val="36"/>
          </w:tcPr>
          <w:p>
            <w:pPr>
              <w:spacing w:after="0" w:line="142" w:lineRule="exact"/>
              <w:rPr>
                <w:sz w:val="20"/>
                <w:szCs w:val="20"/>
                <w:color w:val="auto"/>
              </w:rPr>
            </w:pPr>
            <w:r>
              <w:rPr>
                <w:rFonts w:ascii="Times New Roman" w:cs="Times New Roman" w:eastAsia="Times New Roman" w:hAnsi="Times New Roman"/>
                <w:sz w:val="14"/>
                <w:szCs w:val="14"/>
                <w:color w:val="auto"/>
              </w:rPr>
              <w:t>No Conflict; Required Filings and Consents.</w:t>
            </w:r>
          </w:p>
        </w:tc>
        <w:tc>
          <w:tcPr>
            <w:tcW w:w="62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66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Section 5.4</w:t>
            </w:r>
          </w:p>
        </w:tc>
        <w:tc>
          <w:tcPr>
            <w:tcW w:w="20" w:type="dxa"/>
            <w:vAlign w:val="bottom"/>
          </w:tcPr>
          <w:p>
            <w:pPr>
              <w:spacing w:after="0"/>
              <w:rPr>
                <w:sz w:val="11"/>
                <w:szCs w:val="11"/>
                <w:color w:val="auto"/>
              </w:rPr>
            </w:pPr>
          </w:p>
        </w:tc>
        <w:tc>
          <w:tcPr>
            <w:tcW w:w="1660" w:type="dxa"/>
            <w:vAlign w:val="bottom"/>
            <w:tcBorders>
              <w:top w:val="single" w:sz="8" w:color="auto"/>
            </w:tcBorders>
            <w:gridSpan w:val="24"/>
          </w:tcPr>
          <w:p>
            <w:pPr>
              <w:spacing w:after="0" w:line="133" w:lineRule="exact"/>
              <w:rPr>
                <w:sz w:val="20"/>
                <w:szCs w:val="20"/>
                <w:color w:val="auto"/>
              </w:rPr>
            </w:pPr>
            <w:r>
              <w:rPr>
                <w:rFonts w:ascii="Times New Roman" w:cs="Times New Roman" w:eastAsia="Times New Roman" w:hAnsi="Times New Roman"/>
                <w:sz w:val="14"/>
                <w:szCs w:val="14"/>
                <w:color w:val="auto"/>
              </w:rPr>
              <w:t>Financing.</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55</w:t>
            </w: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5"/>
        </w:trPr>
        <w:tc>
          <w:tcPr>
            <w:tcW w:w="4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80" w:type="dxa"/>
            <w:vAlign w:val="bottom"/>
          </w:tcPr>
          <w:p>
            <w:pPr>
              <w:jc w:val="right"/>
              <w:ind w:right="5268"/>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90" w:right="2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2440" w:type="dxa"/>
            <w:vAlign w:val="bottom"/>
            <w:gridSpan w:val="36"/>
          </w:tcPr>
          <w:p>
            <w:pPr>
              <w:spacing w:after="0"/>
              <w:rPr>
                <w:sz w:val="20"/>
                <w:szCs w:val="20"/>
                <w:color w:val="auto"/>
              </w:rPr>
            </w:pPr>
            <w:r>
              <w:rPr>
                <w:rFonts w:ascii="Times New Roman" w:cs="Times New Roman" w:eastAsia="Times New Roman" w:hAnsi="Times New Roman"/>
                <w:sz w:val="14"/>
                <w:szCs w:val="14"/>
                <w:color w:val="auto"/>
              </w:rPr>
              <w:t>Section 5.5 Capitalization.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56</w:t>
            </w:r>
          </w:p>
        </w:tc>
        <w:tc>
          <w:tcPr>
            <w:tcW w:w="54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Section 5.6</w:t>
            </w:r>
          </w:p>
        </w:tc>
        <w:tc>
          <w:tcPr>
            <w:tcW w:w="20" w:type="dxa"/>
            <w:vAlign w:val="bottom"/>
            <w:vMerge w:val="continue"/>
          </w:tcPr>
          <w:p>
            <w:pPr>
              <w:spacing w:after="0"/>
              <w:rPr>
                <w:sz w:val="12"/>
                <w:szCs w:val="12"/>
                <w:color w:val="auto"/>
              </w:rPr>
            </w:pPr>
          </w:p>
        </w:tc>
        <w:tc>
          <w:tcPr>
            <w:tcW w:w="1760" w:type="dxa"/>
            <w:vAlign w:val="bottom"/>
            <w:gridSpan w:val="34"/>
          </w:tcPr>
          <w:p>
            <w:pPr>
              <w:spacing w:after="0" w:line="142" w:lineRule="exact"/>
              <w:rPr>
                <w:sz w:val="20"/>
                <w:szCs w:val="20"/>
                <w:color w:val="auto"/>
              </w:rPr>
            </w:pPr>
            <w:r>
              <w:rPr>
                <w:rFonts w:ascii="Times New Roman" w:cs="Times New Roman" w:eastAsia="Times New Roman" w:hAnsi="Times New Roman"/>
                <w:sz w:val="14"/>
                <w:szCs w:val="14"/>
                <w:color w:val="auto"/>
              </w:rPr>
              <w:t>Listing Exchange.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240" w:type="dxa"/>
            <w:vAlign w:val="bottom"/>
            <w:vMerge w:val="restart"/>
          </w:tcPr>
          <w:p>
            <w:pPr>
              <w:jc w:val="right"/>
              <w:ind w:right="928"/>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Section 5.7</w:t>
            </w:r>
          </w:p>
        </w:tc>
        <w:tc>
          <w:tcPr>
            <w:tcW w:w="20" w:type="dxa"/>
            <w:vAlign w:val="bottom"/>
            <w:vMerge w:val="continue"/>
          </w:tcPr>
          <w:p>
            <w:pPr>
              <w:spacing w:after="0"/>
              <w:rPr>
                <w:sz w:val="12"/>
                <w:szCs w:val="12"/>
                <w:color w:val="auto"/>
              </w:rPr>
            </w:pPr>
          </w:p>
        </w:tc>
        <w:tc>
          <w:tcPr>
            <w:tcW w:w="2940" w:type="dxa"/>
            <w:vAlign w:val="bottom"/>
            <w:gridSpan w:val="40"/>
          </w:tcPr>
          <w:p>
            <w:pPr>
              <w:spacing w:after="0" w:line="142" w:lineRule="exact"/>
              <w:rPr>
                <w:sz w:val="20"/>
                <w:szCs w:val="20"/>
                <w:color w:val="auto"/>
              </w:rPr>
            </w:pPr>
            <w:r>
              <w:rPr>
                <w:rFonts w:ascii="Times New Roman" w:cs="Times New Roman" w:eastAsia="Times New Roman" w:hAnsi="Times New Roman"/>
                <w:sz w:val="14"/>
                <w:szCs w:val="14"/>
                <w:color w:val="auto"/>
              </w:rPr>
              <w:t>Issuance of the Buyer Common Shares.</w:t>
            </w:r>
          </w:p>
        </w:tc>
        <w:tc>
          <w:tcPr>
            <w:tcW w:w="1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5.8</w:t>
            </w:r>
          </w:p>
        </w:tc>
        <w:tc>
          <w:tcPr>
            <w:tcW w:w="20" w:type="dxa"/>
            <w:vAlign w:val="bottom"/>
          </w:tcPr>
          <w:p>
            <w:pPr>
              <w:spacing w:after="0"/>
              <w:rPr>
                <w:sz w:val="12"/>
                <w:szCs w:val="12"/>
                <w:color w:val="auto"/>
              </w:rPr>
            </w:pPr>
          </w:p>
        </w:tc>
        <w:tc>
          <w:tcPr>
            <w:tcW w:w="1760" w:type="dxa"/>
            <w:vAlign w:val="bottom"/>
            <w:tcBorders>
              <w:top w:val="single" w:sz="8" w:color="auto"/>
            </w:tcBorders>
            <w:gridSpan w:val="34"/>
          </w:tcPr>
          <w:p>
            <w:pPr>
              <w:spacing w:after="0" w:line="142" w:lineRule="exact"/>
              <w:rPr>
                <w:sz w:val="20"/>
                <w:szCs w:val="20"/>
                <w:color w:val="auto"/>
              </w:rPr>
            </w:pPr>
            <w:r>
              <w:rPr>
                <w:rFonts w:ascii="Times New Roman" w:cs="Times New Roman" w:eastAsia="Times New Roman" w:hAnsi="Times New Roman"/>
                <w:sz w:val="14"/>
                <w:szCs w:val="14"/>
                <w:color w:val="auto"/>
              </w:rPr>
              <w:t>Brokers.</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5.9</w:t>
            </w:r>
          </w:p>
        </w:tc>
        <w:tc>
          <w:tcPr>
            <w:tcW w:w="20" w:type="dxa"/>
            <w:vAlign w:val="bottom"/>
            <w:vMerge w:val="continue"/>
          </w:tcPr>
          <w:p>
            <w:pPr>
              <w:spacing w:after="0"/>
              <w:rPr>
                <w:sz w:val="12"/>
                <w:szCs w:val="12"/>
                <w:color w:val="auto"/>
              </w:rPr>
            </w:pPr>
          </w:p>
        </w:tc>
        <w:tc>
          <w:tcPr>
            <w:tcW w:w="1020" w:type="dxa"/>
            <w:vAlign w:val="bottom"/>
            <w:tcBorders>
              <w:bottom w:val="single" w:sz="8" w:color="auto"/>
            </w:tcBorders>
            <w:gridSpan w:val="18"/>
          </w:tcPr>
          <w:p>
            <w:pPr>
              <w:spacing w:after="0" w:line="142" w:lineRule="exact"/>
              <w:rPr>
                <w:sz w:val="20"/>
                <w:szCs w:val="20"/>
                <w:color w:val="auto"/>
              </w:rPr>
            </w:pPr>
            <w:r>
              <w:rPr>
                <w:rFonts w:ascii="Times New Roman" w:cs="Times New Roman" w:eastAsia="Times New Roman" w:hAnsi="Times New Roman"/>
                <w:sz w:val="14"/>
                <w:szCs w:val="14"/>
                <w:color w:val="auto"/>
              </w:rPr>
              <w:t>Investment Intent</w:t>
            </w:r>
          </w:p>
        </w:tc>
        <w:tc>
          <w:tcPr>
            <w:tcW w:w="740" w:type="dxa"/>
            <w:vAlign w:val="bottom"/>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440" w:type="dxa"/>
            <w:vAlign w:val="bottom"/>
            <w:gridSpan w:val="36"/>
          </w:tcPr>
          <w:p>
            <w:pPr>
              <w:spacing w:after="0" w:line="142" w:lineRule="exact"/>
              <w:rPr>
                <w:sz w:val="20"/>
                <w:szCs w:val="20"/>
                <w:color w:val="auto"/>
              </w:rPr>
            </w:pPr>
            <w:r>
              <w:rPr>
                <w:rFonts w:ascii="Times New Roman" w:cs="Times New Roman" w:eastAsia="Times New Roman" w:hAnsi="Times New Roman"/>
                <w:sz w:val="14"/>
                <w:szCs w:val="14"/>
                <w:color w:val="auto"/>
              </w:rPr>
              <w:t>Section 5.10 Reports.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w w:val="99"/>
              </w:rPr>
              <w:t>Section 5.11</w:t>
            </w: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color w:val="auto"/>
                <w:w w:val="87"/>
              </w:rPr>
              <w:t>Internal</w:t>
            </w:r>
          </w:p>
        </w:tc>
        <w:tc>
          <w:tcPr>
            <w:tcW w:w="20" w:type="dxa"/>
            <w:vAlign w:val="bottom"/>
          </w:tcPr>
          <w:p>
            <w:pPr>
              <w:spacing w:after="0"/>
              <w:rPr>
                <w:sz w:val="12"/>
                <w:szCs w:val="12"/>
                <w:color w:val="auto"/>
              </w:rPr>
            </w:pPr>
          </w:p>
        </w:tc>
        <w:tc>
          <w:tcPr>
            <w:tcW w:w="1220" w:type="dxa"/>
            <w:vAlign w:val="bottom"/>
            <w:gridSpan w:val="24"/>
          </w:tcPr>
          <w:p>
            <w:pPr>
              <w:ind w:left="20"/>
              <w:spacing w:after="0" w:line="142" w:lineRule="exact"/>
              <w:rPr>
                <w:sz w:val="20"/>
                <w:szCs w:val="20"/>
                <w:color w:val="auto"/>
              </w:rPr>
            </w:pPr>
            <w:r>
              <w:rPr>
                <w:rFonts w:ascii="Times New Roman" w:cs="Times New Roman" w:eastAsia="Times New Roman" w:hAnsi="Times New Roman"/>
                <w:sz w:val="14"/>
                <w:szCs w:val="14"/>
                <w:color w:val="auto"/>
              </w:rPr>
              <w:t>Controls.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jc w:val="right"/>
              <w:ind w:right="520"/>
              <w:spacing w:after="0" w:line="142" w:lineRule="exact"/>
              <w:rPr>
                <w:sz w:val="20"/>
                <w:szCs w:val="20"/>
                <w:color w:val="auto"/>
              </w:rPr>
            </w:pPr>
            <w:r>
              <w:rPr>
                <w:rFonts w:ascii="Times New Roman" w:cs="Times New Roman" w:eastAsia="Times New Roman" w:hAnsi="Times New Roman"/>
                <w:sz w:val="14"/>
                <w:szCs w:val="14"/>
                <w:color w:val="auto"/>
              </w:rPr>
              <w:t>57</w:t>
            </w:r>
          </w:p>
        </w:tc>
        <w:tc>
          <w:tcPr>
            <w:tcW w:w="124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color w:val="auto"/>
              </w:rPr>
              <w:t>57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Article</w:t>
            </w:r>
          </w:p>
        </w:tc>
        <w:tc>
          <w:tcPr>
            <w:tcW w:w="7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w w:val="99"/>
              </w:rPr>
              <w:t>Section 5.12</w:t>
            </w:r>
          </w:p>
        </w:tc>
        <w:tc>
          <w:tcPr>
            <w:tcW w:w="4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840" w:type="dxa"/>
            <w:vAlign w:val="bottom"/>
            <w:gridSpan w:val="36"/>
          </w:tcPr>
          <w:p>
            <w:pPr>
              <w:spacing w:after="0" w:line="142" w:lineRule="exact"/>
              <w:rPr>
                <w:sz w:val="20"/>
                <w:szCs w:val="20"/>
                <w:color w:val="auto"/>
              </w:rPr>
            </w:pPr>
            <w:r>
              <w:rPr>
                <w:rFonts w:ascii="Times New Roman" w:cs="Times New Roman" w:eastAsia="Times New Roman" w:hAnsi="Times New Roman"/>
                <w:sz w:val="14"/>
                <w:szCs w:val="14"/>
                <w:color w:val="auto"/>
              </w:rPr>
              <w:t>No Other Representations or Warranties.</w:t>
            </w:r>
          </w:p>
        </w:tc>
        <w:tc>
          <w:tcPr>
            <w:tcW w:w="1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vMerge w:val="continue"/>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20" w:type="dxa"/>
            <w:vAlign w:val="bottom"/>
            <w:vMerge w:val="continue"/>
          </w:tcPr>
          <w:p>
            <w:pPr>
              <w:spacing w:after="0"/>
              <w:rPr>
                <w:sz w:val="11"/>
                <w:szCs w:val="11"/>
                <w:color w:val="auto"/>
              </w:rPr>
            </w:pPr>
          </w:p>
        </w:tc>
        <w:tc>
          <w:tcPr>
            <w:tcW w:w="2440" w:type="dxa"/>
            <w:vAlign w:val="bottom"/>
            <w:gridSpan w:val="36"/>
          </w:tcPr>
          <w:p>
            <w:pPr>
              <w:spacing w:after="0" w:line="133" w:lineRule="exact"/>
              <w:rPr>
                <w:sz w:val="20"/>
                <w:szCs w:val="20"/>
                <w:color w:val="auto"/>
              </w:rPr>
            </w:pPr>
            <w:r>
              <w:rPr>
                <w:rFonts w:ascii="Times New Roman" w:cs="Times New Roman" w:eastAsia="Times New Roman" w:hAnsi="Times New Roman"/>
                <w:sz w:val="14"/>
                <w:szCs w:val="14"/>
                <w:color w:val="auto"/>
              </w:rPr>
              <w:t>VI COVENANTS.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jc w:val="right"/>
              <w:ind w:right="148"/>
              <w:spacing w:after="0" w:line="133"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8"/>
          </w:tcPr>
          <w:p>
            <w:pPr>
              <w:spacing w:after="0" w:line="142" w:lineRule="exact"/>
              <w:rPr>
                <w:sz w:val="20"/>
                <w:szCs w:val="20"/>
                <w:color w:val="auto"/>
              </w:rPr>
            </w:pPr>
            <w:r>
              <w:rPr>
                <w:rFonts w:ascii="Times New Roman" w:cs="Times New Roman" w:eastAsia="Times New Roman" w:hAnsi="Times New Roman"/>
                <w:sz w:val="14"/>
                <w:szCs w:val="14"/>
                <w:color w:val="auto"/>
                <w:w w:val="96"/>
              </w:rPr>
              <w:t>Section 6.1 Waiver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26"/>
          </w:tcPr>
          <w:p>
            <w:pPr>
              <w:spacing w:after="0" w:line="142" w:lineRule="exact"/>
              <w:rPr>
                <w:sz w:val="20"/>
                <w:szCs w:val="20"/>
                <w:color w:val="auto"/>
              </w:rPr>
            </w:pPr>
            <w:r>
              <w:rPr>
                <w:rFonts w:ascii="Times New Roman" w:cs="Times New Roman" w:eastAsia="Times New Roman" w:hAnsi="Times New Roman"/>
                <w:sz w:val="14"/>
                <w:szCs w:val="14"/>
                <w:color w:val="auto"/>
              </w:rPr>
              <w:t>and Release.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ind w:left="420"/>
              <w:spacing w:after="0" w:line="142" w:lineRule="exact"/>
              <w:rPr>
                <w:sz w:val="20"/>
                <w:szCs w:val="20"/>
                <w:color w:val="auto"/>
              </w:rPr>
            </w:pPr>
            <w:r>
              <w:rPr>
                <w:rFonts w:ascii="Times New Roman" w:cs="Times New Roman" w:eastAsia="Times New Roman" w:hAnsi="Times New Roman"/>
                <w:sz w:val="14"/>
                <w:szCs w:val="14"/>
                <w:color w:val="auto"/>
                <w:w w:val="71"/>
              </w:rPr>
              <w:t>58</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gridSpan w:val="7"/>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58</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Section 6.2</w:t>
            </w:r>
          </w:p>
        </w:tc>
        <w:tc>
          <w:tcPr>
            <w:tcW w:w="20" w:type="dxa"/>
            <w:vAlign w:val="bottom"/>
            <w:vMerge w:val="continue"/>
          </w:tcPr>
          <w:p>
            <w:pPr>
              <w:spacing w:after="0"/>
              <w:rPr>
                <w:sz w:val="12"/>
                <w:szCs w:val="12"/>
                <w:color w:val="auto"/>
              </w:rPr>
            </w:pPr>
          </w:p>
        </w:tc>
        <w:tc>
          <w:tcPr>
            <w:tcW w:w="1760" w:type="dxa"/>
            <w:vAlign w:val="bottom"/>
            <w:gridSpan w:val="34"/>
          </w:tcPr>
          <w:p>
            <w:pPr>
              <w:spacing w:after="0" w:line="142" w:lineRule="exact"/>
              <w:rPr>
                <w:sz w:val="20"/>
                <w:szCs w:val="20"/>
                <w:color w:val="auto"/>
              </w:rPr>
            </w:pPr>
            <w:r>
              <w:rPr>
                <w:rFonts w:ascii="Times New Roman" w:cs="Times New Roman" w:eastAsia="Times New Roman" w:hAnsi="Times New Roman"/>
                <w:sz w:val="14"/>
                <w:szCs w:val="14"/>
                <w:color w:val="auto"/>
              </w:rPr>
              <w:t>[Intentionally Omitted]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6.3</w:t>
            </w:r>
          </w:p>
        </w:tc>
        <w:tc>
          <w:tcPr>
            <w:tcW w:w="20" w:type="dxa"/>
            <w:vAlign w:val="bottom"/>
          </w:tcPr>
          <w:p>
            <w:pPr>
              <w:spacing w:after="0"/>
              <w:rPr>
                <w:sz w:val="12"/>
                <w:szCs w:val="12"/>
                <w:color w:val="auto"/>
              </w:rPr>
            </w:pPr>
          </w:p>
        </w:tc>
        <w:tc>
          <w:tcPr>
            <w:tcW w:w="1340" w:type="dxa"/>
            <w:vAlign w:val="bottom"/>
            <w:tcBorders>
              <w:top w:val="single" w:sz="8" w:color="auto"/>
            </w:tcBorders>
            <w:gridSpan w:val="26"/>
          </w:tcPr>
          <w:p>
            <w:pPr>
              <w:spacing w:after="0" w:line="142" w:lineRule="exact"/>
              <w:rPr>
                <w:sz w:val="20"/>
                <w:szCs w:val="20"/>
                <w:color w:val="auto"/>
              </w:rPr>
            </w:pPr>
            <w:r>
              <w:rPr>
                <w:rFonts w:ascii="Times New Roman" w:cs="Times New Roman" w:eastAsia="Times New Roman" w:hAnsi="Times New Roman"/>
                <w:sz w:val="14"/>
                <w:szCs w:val="14"/>
                <w:color w:val="auto"/>
              </w:rPr>
              <w:t>Confidentiality.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gridSpan w:val="7"/>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59</w:t>
            </w: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Section 6.4</w:t>
            </w:r>
          </w:p>
        </w:tc>
        <w:tc>
          <w:tcPr>
            <w:tcW w:w="20" w:type="dxa"/>
            <w:vAlign w:val="bottom"/>
            <w:vMerge w:val="continue"/>
          </w:tcPr>
          <w:p>
            <w:pPr>
              <w:spacing w:after="0"/>
              <w:rPr>
                <w:sz w:val="12"/>
                <w:szCs w:val="12"/>
                <w:color w:val="auto"/>
              </w:rPr>
            </w:pPr>
          </w:p>
        </w:tc>
        <w:tc>
          <w:tcPr>
            <w:tcW w:w="1760" w:type="dxa"/>
            <w:vAlign w:val="bottom"/>
            <w:gridSpan w:val="34"/>
          </w:tcPr>
          <w:p>
            <w:pPr>
              <w:spacing w:after="0" w:line="142" w:lineRule="exact"/>
              <w:rPr>
                <w:sz w:val="20"/>
                <w:szCs w:val="20"/>
                <w:color w:val="auto"/>
              </w:rPr>
            </w:pPr>
            <w:r>
              <w:rPr>
                <w:rFonts w:ascii="Times New Roman" w:cs="Times New Roman" w:eastAsia="Times New Roman" w:hAnsi="Times New Roman"/>
                <w:sz w:val="14"/>
                <w:szCs w:val="14"/>
                <w:color w:val="auto"/>
              </w:rPr>
              <w:t>Further Assurances.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6.5</w:t>
            </w:r>
          </w:p>
        </w:tc>
        <w:tc>
          <w:tcPr>
            <w:tcW w:w="20" w:type="dxa"/>
            <w:vAlign w:val="bottom"/>
          </w:tcPr>
          <w:p>
            <w:pPr>
              <w:spacing w:after="0"/>
              <w:rPr>
                <w:sz w:val="12"/>
                <w:szCs w:val="12"/>
                <w:color w:val="auto"/>
              </w:rPr>
            </w:pPr>
          </w:p>
        </w:tc>
        <w:tc>
          <w:tcPr>
            <w:tcW w:w="1120" w:type="dxa"/>
            <w:vAlign w:val="bottom"/>
            <w:tcBorders>
              <w:top w:val="single" w:sz="8" w:color="auto"/>
            </w:tcBorders>
            <w:gridSpan w:val="22"/>
          </w:tcPr>
          <w:p>
            <w:pPr>
              <w:spacing w:after="0" w:line="142" w:lineRule="exact"/>
              <w:rPr>
                <w:sz w:val="20"/>
                <w:szCs w:val="20"/>
                <w:color w:val="auto"/>
              </w:rPr>
            </w:pPr>
            <w:r>
              <w:rPr>
                <w:rFonts w:ascii="Times New Roman" w:cs="Times New Roman" w:eastAsia="Times New Roman" w:hAnsi="Times New Roman"/>
                <w:sz w:val="14"/>
                <w:szCs w:val="14"/>
                <w:color w:val="auto"/>
                <w:w w:val="84"/>
              </w:rPr>
              <w:t>Public Announcements</w:t>
            </w:r>
          </w:p>
        </w:tc>
        <w:tc>
          <w:tcPr>
            <w:tcW w:w="260" w:type="dxa"/>
            <w:vAlign w:val="bottom"/>
            <w:gridSpan w:val="6"/>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59</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6.6</w:t>
            </w:r>
          </w:p>
        </w:tc>
        <w:tc>
          <w:tcPr>
            <w:tcW w:w="20" w:type="dxa"/>
            <w:vAlign w:val="bottom"/>
          </w:tcPr>
          <w:p>
            <w:pPr>
              <w:spacing w:after="0"/>
              <w:rPr>
                <w:sz w:val="12"/>
                <w:szCs w:val="12"/>
                <w:color w:val="auto"/>
              </w:rPr>
            </w:pPr>
          </w:p>
        </w:tc>
        <w:tc>
          <w:tcPr>
            <w:tcW w:w="1360" w:type="dxa"/>
            <w:vAlign w:val="bottom"/>
            <w:tcBorders>
              <w:top w:val="single" w:sz="8" w:color="auto"/>
            </w:tcBorders>
            <w:gridSpan w:val="27"/>
          </w:tcPr>
          <w:p>
            <w:pPr>
              <w:spacing w:after="0" w:line="142" w:lineRule="exact"/>
              <w:rPr>
                <w:sz w:val="20"/>
                <w:szCs w:val="20"/>
                <w:color w:val="auto"/>
              </w:rPr>
            </w:pPr>
            <w:r>
              <w:rPr>
                <w:rFonts w:ascii="Times New Roman" w:cs="Times New Roman" w:eastAsia="Times New Roman" w:hAnsi="Times New Roman"/>
                <w:sz w:val="14"/>
                <w:szCs w:val="14"/>
                <w:color w:val="auto"/>
              </w:rPr>
              <w:t>Books and Records.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59</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6.7</w:t>
            </w:r>
          </w:p>
        </w:tc>
        <w:tc>
          <w:tcPr>
            <w:tcW w:w="20" w:type="dxa"/>
            <w:vAlign w:val="bottom"/>
          </w:tcPr>
          <w:p>
            <w:pPr>
              <w:spacing w:after="0"/>
              <w:rPr>
                <w:sz w:val="12"/>
                <w:szCs w:val="12"/>
                <w:color w:val="auto"/>
              </w:rPr>
            </w:pPr>
          </w:p>
        </w:tc>
        <w:tc>
          <w:tcPr>
            <w:tcW w:w="1160" w:type="dxa"/>
            <w:vAlign w:val="bottom"/>
            <w:tcBorders>
              <w:top w:val="single" w:sz="8" w:color="auto"/>
            </w:tcBorders>
            <w:gridSpan w:val="23"/>
          </w:tcPr>
          <w:p>
            <w:pPr>
              <w:spacing w:after="0" w:line="142" w:lineRule="exact"/>
              <w:rPr>
                <w:sz w:val="20"/>
                <w:szCs w:val="20"/>
                <w:color w:val="auto"/>
              </w:rPr>
            </w:pPr>
            <w:r>
              <w:rPr>
                <w:rFonts w:ascii="Times New Roman" w:cs="Times New Roman" w:eastAsia="Times New Roman" w:hAnsi="Times New Roman"/>
                <w:sz w:val="14"/>
                <w:szCs w:val="14"/>
                <w:color w:val="auto"/>
                <w:w w:val="98"/>
              </w:rPr>
              <w:t>Indemnification and</w:t>
            </w:r>
          </w:p>
        </w:tc>
        <w:tc>
          <w:tcPr>
            <w:tcW w:w="640" w:type="dxa"/>
            <w:vAlign w:val="bottom"/>
            <w:gridSpan w:val="13"/>
          </w:tcPr>
          <w:p>
            <w:pPr>
              <w:ind w:left="40"/>
              <w:spacing w:after="0" w:line="142" w:lineRule="exact"/>
              <w:rPr>
                <w:sz w:val="20"/>
                <w:szCs w:val="20"/>
                <w:color w:val="auto"/>
              </w:rPr>
            </w:pPr>
            <w:r>
              <w:rPr>
                <w:rFonts w:ascii="Times New Roman" w:cs="Times New Roman" w:eastAsia="Times New Roman" w:hAnsi="Times New Roman"/>
                <w:sz w:val="14"/>
                <w:szCs w:val="14"/>
                <w:color w:val="auto"/>
              </w:rPr>
              <w:t>Insurance.</w:t>
            </w:r>
          </w:p>
        </w:tc>
        <w:tc>
          <w:tcPr>
            <w:tcW w:w="114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60</w:t>
            </w:r>
          </w:p>
        </w:tc>
        <w:tc>
          <w:tcPr>
            <w:tcW w:w="1240" w:type="dxa"/>
            <w:vAlign w:val="bottom"/>
            <w:vMerge w:val="restart"/>
          </w:tcPr>
          <w:p>
            <w:pPr>
              <w:jc w:val="right"/>
              <w:ind w:right="908"/>
              <w:spacing w:after="0"/>
              <w:rPr>
                <w:sz w:val="20"/>
                <w:szCs w:val="20"/>
                <w:color w:val="auto"/>
              </w:rPr>
            </w:pPr>
            <w:r>
              <w:rPr>
                <w:rFonts w:ascii="Times New Roman" w:cs="Times New Roman" w:eastAsia="Times New Roman" w:hAnsi="Times New Roman"/>
                <w:sz w:val="14"/>
                <w:szCs w:val="14"/>
                <w:color w:val="auto"/>
              </w:rPr>
              <w:t>60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gridSpan w:val="7"/>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Section 6.8</w:t>
            </w:r>
          </w:p>
        </w:tc>
        <w:tc>
          <w:tcPr>
            <w:tcW w:w="20" w:type="dxa"/>
            <w:vAlign w:val="bottom"/>
            <w:vMerge w:val="continue"/>
          </w:tcPr>
          <w:p>
            <w:pPr>
              <w:spacing w:after="0"/>
              <w:rPr>
                <w:sz w:val="12"/>
                <w:szCs w:val="12"/>
                <w:color w:val="auto"/>
              </w:rPr>
            </w:pPr>
          </w:p>
        </w:tc>
        <w:tc>
          <w:tcPr>
            <w:tcW w:w="2940" w:type="dxa"/>
            <w:vAlign w:val="bottom"/>
            <w:gridSpan w:val="40"/>
          </w:tcPr>
          <w:p>
            <w:pPr>
              <w:spacing w:after="0" w:line="142" w:lineRule="exact"/>
              <w:rPr>
                <w:sz w:val="20"/>
                <w:szCs w:val="20"/>
                <w:color w:val="auto"/>
              </w:rPr>
            </w:pPr>
            <w:r>
              <w:rPr>
                <w:rFonts w:ascii="Times New Roman" w:cs="Times New Roman" w:eastAsia="Times New Roman" w:hAnsi="Times New Roman"/>
                <w:sz w:val="14"/>
                <w:szCs w:val="14"/>
                <w:color w:val="auto"/>
              </w:rPr>
              <w:t>Facilitation of Sales Pursuant to Rule 144.</w:t>
            </w:r>
          </w:p>
        </w:tc>
        <w:tc>
          <w:tcPr>
            <w:tcW w:w="12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Article</w:t>
            </w: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VII TAX</w:t>
            </w:r>
          </w:p>
        </w:tc>
        <w:tc>
          <w:tcPr>
            <w:tcW w:w="20" w:type="dxa"/>
            <w:vAlign w:val="bottom"/>
          </w:tcPr>
          <w:p>
            <w:pPr>
              <w:spacing w:after="0"/>
              <w:rPr>
                <w:sz w:val="12"/>
                <w:szCs w:val="12"/>
                <w:color w:val="auto"/>
              </w:rPr>
            </w:pPr>
          </w:p>
        </w:tc>
        <w:tc>
          <w:tcPr>
            <w:tcW w:w="1760" w:type="dxa"/>
            <w:vAlign w:val="bottom"/>
            <w:tcBorders>
              <w:top w:val="single" w:sz="8" w:color="auto"/>
            </w:tcBorders>
            <w:gridSpan w:val="34"/>
          </w:tcPr>
          <w:p>
            <w:pPr>
              <w:spacing w:after="0" w:line="142" w:lineRule="exact"/>
              <w:rPr>
                <w:sz w:val="20"/>
                <w:szCs w:val="20"/>
                <w:color w:val="auto"/>
              </w:rPr>
            </w:pPr>
            <w:r>
              <w:rPr>
                <w:rFonts w:ascii="Times New Roman" w:cs="Times New Roman" w:eastAsia="Times New Roman" w:hAnsi="Times New Roman"/>
                <w:sz w:val="14"/>
                <w:szCs w:val="14"/>
                <w:color w:val="auto"/>
              </w:rPr>
              <w:t>MATTERS.</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100" w:type="dxa"/>
            <w:vAlign w:val="bottom"/>
            <w:gridSpan w:val="9"/>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2440" w:type="dxa"/>
            <w:vAlign w:val="bottom"/>
            <w:gridSpan w:val="36"/>
          </w:tcPr>
          <w:p>
            <w:pPr>
              <w:spacing w:after="0" w:line="142" w:lineRule="exact"/>
              <w:rPr>
                <w:sz w:val="20"/>
                <w:szCs w:val="20"/>
                <w:color w:val="auto"/>
              </w:rPr>
            </w:pPr>
            <w:r>
              <w:rPr>
                <w:rFonts w:ascii="Times New Roman" w:cs="Times New Roman" w:eastAsia="Times New Roman" w:hAnsi="Times New Roman"/>
                <w:sz w:val="14"/>
                <w:szCs w:val="14"/>
                <w:color w:val="auto"/>
              </w:rPr>
              <w:t>Section 7.1 Tax Returns.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66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Section 7.2</w:t>
            </w:r>
          </w:p>
        </w:tc>
        <w:tc>
          <w:tcPr>
            <w:tcW w:w="20" w:type="dxa"/>
            <w:vAlign w:val="bottom"/>
          </w:tcPr>
          <w:p>
            <w:pPr>
              <w:spacing w:after="0"/>
              <w:rPr>
                <w:sz w:val="11"/>
                <w:szCs w:val="11"/>
                <w:color w:val="auto"/>
              </w:rPr>
            </w:pPr>
          </w:p>
        </w:tc>
        <w:tc>
          <w:tcPr>
            <w:tcW w:w="700" w:type="dxa"/>
            <w:vAlign w:val="bottom"/>
            <w:tcBorders>
              <w:top w:val="single" w:sz="8" w:color="auto"/>
            </w:tcBorders>
            <w:gridSpan w:val="12"/>
          </w:tcPr>
          <w:p>
            <w:pPr>
              <w:spacing w:after="0" w:line="133" w:lineRule="exact"/>
              <w:rPr>
                <w:sz w:val="20"/>
                <w:szCs w:val="20"/>
                <w:color w:val="auto"/>
              </w:rPr>
            </w:pPr>
            <w:r>
              <w:rPr>
                <w:rFonts w:ascii="Times New Roman" w:cs="Times New Roman" w:eastAsia="Times New Roman" w:hAnsi="Times New Roman"/>
                <w:sz w:val="14"/>
                <w:szCs w:val="14"/>
                <w:color w:val="auto"/>
                <w:w w:val="98"/>
              </w:rPr>
              <w:t>Cooperation</w:t>
            </w:r>
          </w:p>
        </w:tc>
        <w:tc>
          <w:tcPr>
            <w:tcW w:w="8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jc w:val="right"/>
              <w:ind w:right="108"/>
              <w:spacing w:after="0" w:line="133" w:lineRule="exact"/>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gridSpan w:val="7"/>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7.3</w:t>
            </w:r>
          </w:p>
        </w:tc>
        <w:tc>
          <w:tcPr>
            <w:tcW w:w="20" w:type="dxa"/>
            <w:vAlign w:val="bottom"/>
            <w:vMerge w:val="continue"/>
          </w:tcPr>
          <w:p>
            <w:pPr>
              <w:spacing w:after="0"/>
              <w:rPr>
                <w:sz w:val="12"/>
                <w:szCs w:val="12"/>
                <w:color w:val="auto"/>
              </w:rPr>
            </w:pPr>
          </w:p>
        </w:tc>
        <w:tc>
          <w:tcPr>
            <w:tcW w:w="900" w:type="dxa"/>
            <w:vAlign w:val="bottom"/>
            <w:tcBorders>
              <w:bottom w:val="single" w:sz="8" w:color="auto"/>
            </w:tcBorders>
            <w:gridSpan w:val="16"/>
          </w:tcPr>
          <w:p>
            <w:pPr>
              <w:spacing w:after="0" w:line="142" w:lineRule="exact"/>
              <w:rPr>
                <w:sz w:val="20"/>
                <w:szCs w:val="20"/>
                <w:color w:val="auto"/>
              </w:rPr>
            </w:pPr>
            <w:r>
              <w:rPr>
                <w:rFonts w:ascii="Times New Roman" w:cs="Times New Roman" w:eastAsia="Times New Roman" w:hAnsi="Times New Roman"/>
                <w:sz w:val="14"/>
                <w:szCs w:val="14"/>
                <w:color w:val="auto"/>
              </w:rPr>
              <w:t>Transfer Taxes.</w:t>
            </w:r>
          </w:p>
        </w:tc>
        <w:tc>
          <w:tcPr>
            <w:tcW w:w="860" w:type="dxa"/>
            <w:vAlign w:val="bottom"/>
            <w:gridSpan w:val="1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Section 7.4</w:t>
            </w:r>
          </w:p>
        </w:tc>
        <w:tc>
          <w:tcPr>
            <w:tcW w:w="20" w:type="dxa"/>
            <w:vAlign w:val="bottom"/>
          </w:tcPr>
          <w:p>
            <w:pPr>
              <w:spacing w:after="0"/>
              <w:rPr>
                <w:sz w:val="12"/>
                <w:szCs w:val="12"/>
                <w:color w:val="auto"/>
              </w:rPr>
            </w:pPr>
          </w:p>
        </w:tc>
        <w:tc>
          <w:tcPr>
            <w:tcW w:w="1760" w:type="dxa"/>
            <w:vAlign w:val="bottom"/>
            <w:gridSpan w:val="34"/>
          </w:tcPr>
          <w:p>
            <w:pPr>
              <w:spacing w:after="0" w:line="142" w:lineRule="exact"/>
              <w:rPr>
                <w:sz w:val="20"/>
                <w:szCs w:val="20"/>
                <w:color w:val="auto"/>
              </w:rPr>
            </w:pPr>
            <w:r>
              <w:rPr>
                <w:rFonts w:ascii="Times New Roman" w:cs="Times New Roman" w:eastAsia="Times New Roman" w:hAnsi="Times New Roman"/>
                <w:sz w:val="14"/>
                <w:szCs w:val="14"/>
                <w:color w:val="auto"/>
              </w:rPr>
              <w:t>Pre-Closing Period Proration.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7.5</w:t>
            </w:r>
          </w:p>
        </w:tc>
        <w:tc>
          <w:tcPr>
            <w:tcW w:w="20" w:type="dxa"/>
            <w:vAlign w:val="bottom"/>
          </w:tcPr>
          <w:p>
            <w:pPr>
              <w:spacing w:after="0"/>
              <w:rPr>
                <w:sz w:val="12"/>
                <w:szCs w:val="12"/>
                <w:color w:val="auto"/>
              </w:rPr>
            </w:pPr>
          </w:p>
        </w:tc>
        <w:tc>
          <w:tcPr>
            <w:tcW w:w="1720" w:type="dxa"/>
            <w:vAlign w:val="bottom"/>
            <w:tcBorders>
              <w:top w:val="single" w:sz="8" w:color="auto"/>
            </w:tcBorders>
            <w:gridSpan w:val="33"/>
          </w:tcPr>
          <w:p>
            <w:pPr>
              <w:spacing w:after="0" w:line="142" w:lineRule="exact"/>
              <w:rPr>
                <w:sz w:val="20"/>
                <w:szCs w:val="20"/>
                <w:color w:val="auto"/>
              </w:rPr>
            </w:pPr>
            <w:r>
              <w:rPr>
                <w:rFonts w:ascii="Times New Roman" w:cs="Times New Roman" w:eastAsia="Times New Roman" w:hAnsi="Times New Roman"/>
                <w:sz w:val="14"/>
                <w:szCs w:val="14"/>
                <w:color w:val="auto"/>
              </w:rPr>
              <w:t>Intended Tax Treatment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jc w:val="right"/>
              <w:ind w:right="360"/>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Article</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7"/>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62</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vMerge w:val="continue"/>
          </w:tcPr>
          <w:p>
            <w:pPr>
              <w:spacing w:after="0"/>
              <w:rPr>
                <w:sz w:val="12"/>
                <w:szCs w:val="12"/>
                <w:color w:val="auto"/>
              </w:rPr>
            </w:pPr>
          </w:p>
        </w:tc>
        <w:tc>
          <w:tcPr>
            <w:tcW w:w="2440" w:type="dxa"/>
            <w:vAlign w:val="bottom"/>
            <w:gridSpan w:val="36"/>
          </w:tcPr>
          <w:p>
            <w:pPr>
              <w:spacing w:after="0" w:line="142" w:lineRule="exact"/>
              <w:rPr>
                <w:sz w:val="20"/>
                <w:szCs w:val="20"/>
                <w:color w:val="auto"/>
              </w:rPr>
            </w:pPr>
            <w:r>
              <w:rPr>
                <w:rFonts w:ascii="Times New Roman" w:cs="Times New Roman" w:eastAsia="Times New Roman" w:hAnsi="Times New Roman"/>
                <w:sz w:val="14"/>
                <w:szCs w:val="14"/>
                <w:color w:val="auto"/>
              </w:rPr>
              <w:t>VIII GENERAL PROVISIONS.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25"/>
          </w:tcPr>
          <w:p>
            <w:pPr>
              <w:spacing w:after="0" w:line="142" w:lineRule="exact"/>
              <w:rPr>
                <w:sz w:val="20"/>
                <w:szCs w:val="20"/>
                <w:color w:val="auto"/>
              </w:rPr>
            </w:pPr>
            <w:r>
              <w:rPr>
                <w:rFonts w:ascii="Times New Roman" w:cs="Times New Roman" w:eastAsia="Times New Roman" w:hAnsi="Times New Roman"/>
                <w:sz w:val="14"/>
                <w:szCs w:val="14"/>
                <w:color w:val="auto"/>
              </w:rPr>
              <w:t>Section 8.1 Non-Survival of</w:t>
            </w:r>
          </w:p>
        </w:tc>
        <w:tc>
          <w:tcPr>
            <w:tcW w:w="3200" w:type="dxa"/>
            <w:vAlign w:val="bottom"/>
            <w:gridSpan w:val="19"/>
          </w:tcPr>
          <w:p>
            <w:pPr>
              <w:spacing w:after="0" w:line="142" w:lineRule="exact"/>
              <w:rPr>
                <w:sz w:val="20"/>
                <w:szCs w:val="20"/>
                <w:color w:val="auto"/>
              </w:rPr>
            </w:pPr>
            <w:r>
              <w:rPr>
                <w:rFonts w:ascii="Times New Roman" w:cs="Times New Roman" w:eastAsia="Times New Roman" w:hAnsi="Times New Roman"/>
                <w:sz w:val="14"/>
                <w:szCs w:val="14"/>
                <w:color w:val="auto"/>
                <w:w w:val="96"/>
              </w:rPr>
              <w:t>Representations and Warranties and Certain Covenants. 62</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8.2</w:t>
            </w:r>
          </w:p>
        </w:tc>
        <w:tc>
          <w:tcPr>
            <w:tcW w:w="20" w:type="dxa"/>
            <w:vAlign w:val="bottom"/>
          </w:tcPr>
          <w:p>
            <w:pPr>
              <w:spacing w:after="0"/>
              <w:rPr>
                <w:sz w:val="12"/>
                <w:szCs w:val="12"/>
                <w:color w:val="auto"/>
              </w:rPr>
            </w:pPr>
          </w:p>
        </w:tc>
        <w:tc>
          <w:tcPr>
            <w:tcW w:w="1760" w:type="dxa"/>
            <w:vAlign w:val="bottom"/>
            <w:tcBorders>
              <w:top w:val="single" w:sz="8" w:color="auto"/>
            </w:tcBorders>
            <w:gridSpan w:val="34"/>
          </w:tcPr>
          <w:p>
            <w:pPr>
              <w:spacing w:after="0" w:line="142" w:lineRule="exact"/>
              <w:rPr>
                <w:sz w:val="20"/>
                <w:szCs w:val="20"/>
                <w:color w:val="auto"/>
              </w:rPr>
            </w:pPr>
            <w:r>
              <w:rPr>
                <w:rFonts w:ascii="Times New Roman" w:cs="Times New Roman" w:eastAsia="Times New Roman" w:hAnsi="Times New Roman"/>
                <w:sz w:val="14"/>
                <w:szCs w:val="14"/>
                <w:color w:val="auto"/>
              </w:rPr>
              <w:t>Fees and Expenses.</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8.3</w:t>
            </w:r>
          </w:p>
        </w:tc>
        <w:tc>
          <w:tcPr>
            <w:tcW w:w="20" w:type="dxa"/>
            <w:vAlign w:val="bottom"/>
          </w:tcPr>
          <w:p>
            <w:pPr>
              <w:spacing w:after="0"/>
              <w:rPr>
                <w:sz w:val="12"/>
                <w:szCs w:val="12"/>
                <w:color w:val="auto"/>
              </w:rPr>
            </w:pPr>
          </w:p>
        </w:tc>
        <w:tc>
          <w:tcPr>
            <w:tcW w:w="1100" w:type="dxa"/>
            <w:vAlign w:val="bottom"/>
            <w:tcBorders>
              <w:top w:val="single" w:sz="8" w:color="auto"/>
            </w:tcBorders>
            <w:gridSpan w:val="21"/>
          </w:tcPr>
          <w:p>
            <w:pPr>
              <w:spacing w:after="0" w:line="142" w:lineRule="exact"/>
              <w:rPr>
                <w:sz w:val="20"/>
                <w:szCs w:val="20"/>
                <w:color w:val="auto"/>
              </w:rPr>
            </w:pPr>
            <w:r>
              <w:rPr>
                <w:rFonts w:ascii="Times New Roman" w:cs="Times New Roman" w:eastAsia="Times New Roman" w:hAnsi="Times New Roman"/>
                <w:sz w:val="14"/>
                <w:szCs w:val="14"/>
                <w:color w:val="auto"/>
              </w:rPr>
              <w:t>Amendment and</w:t>
            </w:r>
          </w:p>
        </w:tc>
        <w:tc>
          <w:tcPr>
            <w:tcW w:w="700" w:type="dxa"/>
            <w:vAlign w:val="bottom"/>
            <w:gridSpan w:val="15"/>
          </w:tcPr>
          <w:p>
            <w:pPr>
              <w:spacing w:after="0" w:line="142" w:lineRule="exact"/>
              <w:rPr>
                <w:sz w:val="20"/>
                <w:szCs w:val="20"/>
                <w:color w:val="auto"/>
              </w:rPr>
            </w:pPr>
            <w:r>
              <w:rPr>
                <w:rFonts w:ascii="Times New Roman" w:cs="Times New Roman" w:eastAsia="Times New Roman" w:hAnsi="Times New Roman"/>
                <w:sz w:val="14"/>
                <w:szCs w:val="14"/>
                <w:color w:val="auto"/>
                <w:w w:val="88"/>
              </w:rPr>
              <w:t>Modification.</w:t>
            </w:r>
          </w:p>
        </w:tc>
        <w:tc>
          <w:tcPr>
            <w:tcW w:w="114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8.4</w:t>
            </w:r>
          </w:p>
        </w:tc>
        <w:tc>
          <w:tcPr>
            <w:tcW w:w="20" w:type="dxa"/>
            <w:vAlign w:val="bottom"/>
          </w:tcPr>
          <w:p>
            <w:pPr>
              <w:spacing w:after="0"/>
              <w:rPr>
                <w:sz w:val="12"/>
                <w:szCs w:val="12"/>
                <w:color w:val="auto"/>
              </w:rPr>
            </w:pPr>
          </w:p>
        </w:tc>
        <w:tc>
          <w:tcPr>
            <w:tcW w:w="1760" w:type="dxa"/>
            <w:vAlign w:val="bottom"/>
            <w:tcBorders>
              <w:top w:val="single" w:sz="8" w:color="auto"/>
            </w:tcBorders>
            <w:gridSpan w:val="34"/>
          </w:tcPr>
          <w:p>
            <w:pPr>
              <w:spacing w:after="0" w:line="142" w:lineRule="exact"/>
              <w:rPr>
                <w:sz w:val="20"/>
                <w:szCs w:val="20"/>
                <w:color w:val="auto"/>
              </w:rPr>
            </w:pPr>
            <w:r>
              <w:rPr>
                <w:rFonts w:ascii="Times New Roman" w:cs="Times New Roman" w:eastAsia="Times New Roman" w:hAnsi="Times New Roman"/>
                <w:sz w:val="14"/>
                <w:szCs w:val="14"/>
                <w:color w:val="auto"/>
              </w:rPr>
              <w:t>Waiver</w:t>
            </w:r>
          </w:p>
        </w:tc>
        <w:tc>
          <w:tcPr>
            <w:tcW w:w="500" w:type="dxa"/>
            <w:vAlign w:val="bottom"/>
            <w:gridSpan w:val="3"/>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w w:val="85"/>
              </w:rPr>
              <w:t>63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8.5</w:t>
            </w:r>
          </w:p>
        </w:tc>
        <w:tc>
          <w:tcPr>
            <w:tcW w:w="20" w:type="dxa"/>
            <w:vAlign w:val="bottom"/>
          </w:tcPr>
          <w:p>
            <w:pPr>
              <w:spacing w:after="0"/>
              <w:rPr>
                <w:sz w:val="12"/>
                <w:szCs w:val="12"/>
                <w:color w:val="auto"/>
              </w:rPr>
            </w:pPr>
          </w:p>
        </w:tc>
        <w:tc>
          <w:tcPr>
            <w:tcW w:w="420" w:type="dxa"/>
            <w:vAlign w:val="bottom"/>
            <w:tcBorders>
              <w:top w:val="single" w:sz="8" w:color="auto"/>
              <w:bottom w:val="single" w:sz="8" w:color="auto"/>
            </w:tcBorders>
            <w:gridSpan w:val="7"/>
          </w:tcPr>
          <w:p>
            <w:pPr>
              <w:spacing w:after="0" w:line="142" w:lineRule="exact"/>
              <w:rPr>
                <w:sz w:val="20"/>
                <w:szCs w:val="20"/>
                <w:color w:val="auto"/>
              </w:rPr>
            </w:pPr>
            <w:r>
              <w:rPr>
                <w:rFonts w:ascii="Times New Roman" w:cs="Times New Roman" w:eastAsia="Times New Roman" w:hAnsi="Times New Roman"/>
                <w:sz w:val="14"/>
                <w:szCs w:val="14"/>
                <w:color w:val="auto"/>
                <w:w w:val="93"/>
              </w:rPr>
              <w:t>Notices</w:t>
            </w:r>
          </w:p>
        </w:tc>
        <w:tc>
          <w:tcPr>
            <w:tcW w:w="40" w:type="dxa"/>
            <w:vAlign w:val="bottom"/>
            <w:tcBorders>
              <w:bottom w:val="single" w:sz="8" w:color="auto"/>
            </w:tcBorders>
          </w:tcPr>
          <w:p>
            <w:pPr>
              <w:spacing w:after="0"/>
              <w:rPr>
                <w:sz w:val="12"/>
                <w:szCs w:val="12"/>
                <w:color w:val="auto"/>
              </w:rPr>
            </w:pPr>
          </w:p>
        </w:tc>
        <w:tc>
          <w:tcPr>
            <w:tcW w:w="1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w w:val="99"/>
              </w:rPr>
              <w:t>63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66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Section 8.6</w:t>
            </w:r>
          </w:p>
        </w:tc>
        <w:tc>
          <w:tcPr>
            <w:tcW w:w="20" w:type="dxa"/>
            <w:vAlign w:val="bottom"/>
          </w:tcPr>
          <w:p>
            <w:pPr>
              <w:spacing w:after="0"/>
              <w:rPr>
                <w:sz w:val="11"/>
                <w:szCs w:val="11"/>
                <w:color w:val="auto"/>
              </w:rPr>
            </w:pPr>
          </w:p>
        </w:tc>
        <w:tc>
          <w:tcPr>
            <w:tcW w:w="1760" w:type="dxa"/>
            <w:vAlign w:val="bottom"/>
            <w:gridSpan w:val="34"/>
          </w:tcPr>
          <w:p>
            <w:pPr>
              <w:spacing w:after="0" w:line="133" w:lineRule="exact"/>
              <w:rPr>
                <w:sz w:val="20"/>
                <w:szCs w:val="20"/>
                <w:color w:val="auto"/>
              </w:rPr>
            </w:pPr>
            <w:r>
              <w:rPr>
                <w:rFonts w:ascii="Times New Roman" w:cs="Times New Roman" w:eastAsia="Times New Roman" w:hAnsi="Times New Roman"/>
                <w:sz w:val="14"/>
                <w:szCs w:val="14"/>
                <w:color w:val="auto"/>
              </w:rPr>
              <w:t>Interpretation.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jc w:val="right"/>
              <w:ind w:right="28"/>
              <w:spacing w:after="0" w:line="133" w:lineRule="exact"/>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gridSpan w:val="11"/>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w w:val="71"/>
              </w:rPr>
              <w:t>65</w:t>
            </w: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Section 8.7</w:t>
            </w:r>
          </w:p>
        </w:tc>
        <w:tc>
          <w:tcPr>
            <w:tcW w:w="20" w:type="dxa"/>
            <w:vAlign w:val="bottom"/>
            <w:vMerge w:val="continue"/>
          </w:tcPr>
          <w:p>
            <w:pPr>
              <w:spacing w:after="0"/>
              <w:rPr>
                <w:sz w:val="12"/>
                <w:szCs w:val="12"/>
                <w:color w:val="auto"/>
              </w:rPr>
            </w:pPr>
          </w:p>
        </w:tc>
        <w:tc>
          <w:tcPr>
            <w:tcW w:w="1760" w:type="dxa"/>
            <w:vAlign w:val="bottom"/>
            <w:gridSpan w:val="34"/>
          </w:tcPr>
          <w:p>
            <w:pPr>
              <w:spacing w:after="0" w:line="142" w:lineRule="exact"/>
              <w:rPr>
                <w:sz w:val="20"/>
                <w:szCs w:val="20"/>
                <w:color w:val="auto"/>
              </w:rPr>
            </w:pPr>
            <w:r>
              <w:rPr>
                <w:rFonts w:ascii="Times New Roman" w:cs="Times New Roman" w:eastAsia="Times New Roman" w:hAnsi="Times New Roman"/>
                <w:sz w:val="14"/>
                <w:szCs w:val="14"/>
                <w:color w:val="auto"/>
              </w:rPr>
              <w:t>Entire Agreement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8.8</w:t>
            </w:r>
          </w:p>
        </w:tc>
        <w:tc>
          <w:tcPr>
            <w:tcW w:w="20" w:type="dxa"/>
            <w:vAlign w:val="bottom"/>
          </w:tcPr>
          <w:p>
            <w:pPr>
              <w:spacing w:after="0"/>
              <w:rPr>
                <w:sz w:val="12"/>
                <w:szCs w:val="12"/>
                <w:color w:val="auto"/>
              </w:rPr>
            </w:pPr>
          </w:p>
        </w:tc>
        <w:tc>
          <w:tcPr>
            <w:tcW w:w="1080" w:type="dxa"/>
            <w:vAlign w:val="bottom"/>
            <w:tcBorders>
              <w:top w:val="single" w:sz="8" w:color="auto"/>
            </w:tcBorders>
            <w:gridSpan w:val="20"/>
          </w:tcPr>
          <w:p>
            <w:pPr>
              <w:spacing w:after="0" w:line="142" w:lineRule="exact"/>
              <w:rPr>
                <w:sz w:val="20"/>
                <w:szCs w:val="20"/>
                <w:color w:val="auto"/>
              </w:rPr>
            </w:pPr>
            <w:r>
              <w:rPr>
                <w:rFonts w:ascii="Times New Roman" w:cs="Times New Roman" w:eastAsia="Times New Roman" w:hAnsi="Times New Roman"/>
                <w:sz w:val="14"/>
                <w:szCs w:val="14"/>
                <w:color w:val="auto"/>
              </w:rPr>
              <w:t>No Third-Party</w:t>
            </w:r>
          </w:p>
        </w:tc>
        <w:tc>
          <w:tcPr>
            <w:tcW w:w="680" w:type="dxa"/>
            <w:vAlign w:val="bottom"/>
            <w:gridSpan w:val="14"/>
          </w:tcPr>
          <w:p>
            <w:pPr>
              <w:jc w:val="center"/>
              <w:ind w:right="40"/>
              <w:spacing w:after="0" w:line="142" w:lineRule="exact"/>
              <w:rPr>
                <w:sz w:val="20"/>
                <w:szCs w:val="20"/>
                <w:color w:val="auto"/>
              </w:rPr>
            </w:pPr>
            <w:r>
              <w:rPr>
                <w:rFonts w:ascii="Times New Roman" w:cs="Times New Roman" w:eastAsia="Times New Roman" w:hAnsi="Times New Roman"/>
                <w:sz w:val="14"/>
                <w:szCs w:val="14"/>
                <w:color w:val="auto"/>
                <w:w w:val="82"/>
              </w:rPr>
              <w:t>Beneficiaries.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Section 8.9</w:t>
            </w:r>
          </w:p>
        </w:tc>
        <w:tc>
          <w:tcPr>
            <w:tcW w:w="20" w:type="dxa"/>
            <w:vAlign w:val="bottom"/>
          </w:tcPr>
          <w:p>
            <w:pPr>
              <w:spacing w:after="0"/>
              <w:rPr>
                <w:sz w:val="12"/>
                <w:szCs w:val="12"/>
                <w:color w:val="auto"/>
              </w:rPr>
            </w:pPr>
          </w:p>
        </w:tc>
        <w:tc>
          <w:tcPr>
            <w:tcW w:w="1680" w:type="dxa"/>
            <w:vAlign w:val="bottom"/>
            <w:tcBorders>
              <w:top w:val="single" w:sz="8" w:color="auto"/>
            </w:tcBorders>
            <w:gridSpan w:val="32"/>
          </w:tcPr>
          <w:p>
            <w:pPr>
              <w:spacing w:after="0" w:line="142" w:lineRule="exact"/>
              <w:rPr>
                <w:sz w:val="20"/>
                <w:szCs w:val="20"/>
                <w:color w:val="auto"/>
              </w:rPr>
            </w:pPr>
            <w:r>
              <w:rPr>
                <w:rFonts w:ascii="Times New Roman" w:cs="Times New Roman" w:eastAsia="Times New Roman" w:hAnsi="Times New Roman"/>
                <w:sz w:val="14"/>
                <w:szCs w:val="14"/>
                <w:color w:val="auto"/>
              </w:rPr>
              <w:t>Governing Law.</w:t>
            </w: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11"/>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66</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2440" w:type="dxa"/>
            <w:vAlign w:val="bottom"/>
            <w:gridSpan w:val="36"/>
          </w:tcPr>
          <w:p>
            <w:pPr>
              <w:spacing w:after="0" w:line="142" w:lineRule="exact"/>
              <w:rPr>
                <w:sz w:val="20"/>
                <w:szCs w:val="20"/>
                <w:color w:val="auto"/>
              </w:rPr>
            </w:pPr>
            <w:r>
              <w:rPr>
                <w:rFonts w:ascii="Times New Roman" w:cs="Times New Roman" w:eastAsia="Times New Roman" w:hAnsi="Times New Roman"/>
                <w:sz w:val="14"/>
                <w:szCs w:val="14"/>
                <w:color w:val="auto"/>
              </w:rPr>
              <w:t>Section 8.10 Submission to Jurisdiction.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40" w:type="dxa"/>
            <w:vAlign w:val="bottom"/>
            <w:tcBorders>
              <w:top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color w:val="auto"/>
              </w:rPr>
              <w:t>Section 8.11</w:t>
            </w:r>
          </w:p>
        </w:tc>
        <w:tc>
          <w:tcPr>
            <w:tcW w:w="60" w:type="dxa"/>
            <w:vAlign w:val="bottom"/>
            <w:gridSpan w:val="3"/>
          </w:tcPr>
          <w:p>
            <w:pPr>
              <w:spacing w:after="0"/>
              <w:rPr>
                <w:sz w:val="12"/>
                <w:szCs w:val="12"/>
                <w:color w:val="auto"/>
              </w:rPr>
            </w:pPr>
          </w:p>
        </w:tc>
        <w:tc>
          <w:tcPr>
            <w:tcW w:w="1480" w:type="dxa"/>
            <w:vAlign w:val="bottom"/>
            <w:tcBorders>
              <w:top w:val="single" w:sz="8" w:color="auto"/>
            </w:tcBorders>
            <w:gridSpan w:val="25"/>
          </w:tcPr>
          <w:p>
            <w:pPr>
              <w:spacing w:after="0" w:line="142" w:lineRule="exact"/>
              <w:rPr>
                <w:sz w:val="20"/>
                <w:szCs w:val="20"/>
                <w:color w:val="auto"/>
              </w:rPr>
            </w:pPr>
            <w:r>
              <w:rPr>
                <w:rFonts w:ascii="Times New Roman" w:cs="Times New Roman" w:eastAsia="Times New Roman" w:hAnsi="Times New Roman"/>
                <w:sz w:val="14"/>
                <w:szCs w:val="14"/>
                <w:color w:val="auto"/>
              </w:rPr>
              <w:t>Assignment; Successors.</w:t>
            </w:r>
          </w:p>
        </w:tc>
        <w:tc>
          <w:tcPr>
            <w:tcW w:w="4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66</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2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w w:val="99"/>
              </w:rPr>
              <w:t>Section 8.12</w:t>
            </w:r>
          </w:p>
        </w:tc>
        <w:tc>
          <w:tcPr>
            <w:tcW w:w="60" w:type="dxa"/>
            <w:vAlign w:val="bottom"/>
            <w:gridSpan w:val="3"/>
          </w:tcPr>
          <w:p>
            <w:pPr>
              <w:spacing w:after="0"/>
              <w:rPr>
                <w:sz w:val="12"/>
                <w:szCs w:val="12"/>
                <w:color w:val="auto"/>
              </w:rPr>
            </w:pPr>
          </w:p>
        </w:tc>
        <w:tc>
          <w:tcPr>
            <w:tcW w:w="1380" w:type="dxa"/>
            <w:vAlign w:val="bottom"/>
            <w:tcBorders>
              <w:top w:val="single" w:sz="8" w:color="auto"/>
            </w:tcBorders>
            <w:gridSpan w:val="25"/>
          </w:tcPr>
          <w:p>
            <w:pPr>
              <w:spacing w:after="0" w:line="142" w:lineRule="exact"/>
              <w:rPr>
                <w:sz w:val="20"/>
                <w:szCs w:val="20"/>
                <w:color w:val="auto"/>
              </w:rPr>
            </w:pPr>
            <w:r>
              <w:rPr>
                <w:rFonts w:ascii="Times New Roman" w:cs="Times New Roman" w:eastAsia="Times New Roman" w:hAnsi="Times New Roman"/>
                <w:sz w:val="14"/>
                <w:szCs w:val="14"/>
                <w:color w:val="auto"/>
              </w:rPr>
              <w:t>Enforcement</w:t>
            </w:r>
          </w:p>
        </w:tc>
        <w:tc>
          <w:tcPr>
            <w:tcW w:w="16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8.13</w:t>
            </w:r>
          </w:p>
        </w:tc>
        <w:tc>
          <w:tcPr>
            <w:tcW w:w="40" w:type="dxa"/>
            <w:vAlign w:val="bottom"/>
            <w:gridSpan w:val="2"/>
          </w:tcPr>
          <w:p>
            <w:pPr>
              <w:spacing w:after="0"/>
              <w:rPr>
                <w:sz w:val="12"/>
                <w:szCs w:val="12"/>
                <w:color w:val="auto"/>
              </w:rPr>
            </w:pPr>
          </w:p>
        </w:tc>
        <w:tc>
          <w:tcPr>
            <w:tcW w:w="660" w:type="dxa"/>
            <w:vAlign w:val="bottom"/>
            <w:tcBorders>
              <w:top w:val="single" w:sz="8" w:color="auto"/>
            </w:tcBorders>
            <w:gridSpan w:val="9"/>
          </w:tcPr>
          <w:p>
            <w:pPr>
              <w:spacing w:after="0" w:line="142" w:lineRule="exact"/>
              <w:rPr>
                <w:sz w:val="20"/>
                <w:szCs w:val="20"/>
                <w:color w:val="auto"/>
              </w:rPr>
            </w:pPr>
            <w:r>
              <w:rPr>
                <w:rFonts w:ascii="Times New Roman" w:cs="Times New Roman" w:eastAsia="Times New Roman" w:hAnsi="Times New Roman"/>
                <w:sz w:val="14"/>
                <w:szCs w:val="14"/>
                <w:color w:val="auto"/>
              </w:rPr>
              <w:t>Currency.</w:t>
            </w:r>
          </w:p>
        </w:tc>
        <w:tc>
          <w:tcPr>
            <w:tcW w:w="10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c>
          <w:tcPr>
            <w:tcW w:w="2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gridSpan w:val="6"/>
          </w:tcPr>
          <w:p>
            <w:pPr>
              <w:spacing w:after="0"/>
              <w:rPr>
                <w:sz w:val="12"/>
                <w:szCs w:val="12"/>
                <w:color w:val="auto"/>
              </w:rPr>
            </w:pP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8.14</w:t>
            </w:r>
          </w:p>
        </w:tc>
        <w:tc>
          <w:tcPr>
            <w:tcW w:w="40" w:type="dxa"/>
            <w:vAlign w:val="bottom"/>
            <w:gridSpan w:val="2"/>
          </w:tcPr>
          <w:p>
            <w:pPr>
              <w:spacing w:after="0"/>
              <w:rPr>
                <w:sz w:val="12"/>
                <w:szCs w:val="12"/>
                <w:color w:val="auto"/>
              </w:rPr>
            </w:pPr>
          </w:p>
        </w:tc>
        <w:tc>
          <w:tcPr>
            <w:tcW w:w="500" w:type="dxa"/>
            <w:vAlign w:val="bottom"/>
            <w:tcBorders>
              <w:top w:val="single" w:sz="8" w:color="auto"/>
            </w:tcBorders>
            <w:gridSpan w:val="6"/>
          </w:tcPr>
          <w:p>
            <w:pPr>
              <w:spacing w:after="0" w:line="142" w:lineRule="exact"/>
              <w:rPr>
                <w:sz w:val="20"/>
                <w:szCs w:val="20"/>
                <w:color w:val="auto"/>
              </w:rPr>
            </w:pPr>
            <w:r>
              <w:rPr>
                <w:rFonts w:ascii="Times New Roman" w:cs="Times New Roman" w:eastAsia="Times New Roman" w:hAnsi="Times New Roman"/>
                <w:sz w:val="14"/>
                <w:szCs w:val="14"/>
                <w:color w:val="auto"/>
                <w:w w:val="70"/>
              </w:rPr>
              <w:t>Severability</w:t>
            </w:r>
          </w:p>
        </w:tc>
        <w:tc>
          <w:tcPr>
            <w:tcW w:w="260" w:type="dxa"/>
            <w:vAlign w:val="bottom"/>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4"/>
          </w:tcPr>
          <w:p>
            <w:pPr>
              <w:spacing w:after="0"/>
              <w:rPr>
                <w:sz w:val="12"/>
                <w:szCs w:val="12"/>
                <w:color w:val="auto"/>
              </w:rPr>
            </w:pPr>
          </w:p>
        </w:tc>
        <w:tc>
          <w:tcPr>
            <w:tcW w:w="2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gridSpan w:val="6"/>
          </w:tcPr>
          <w:p>
            <w:pPr>
              <w:spacing w:after="0"/>
              <w:rPr>
                <w:sz w:val="12"/>
                <w:szCs w:val="12"/>
                <w:color w:val="auto"/>
              </w:rPr>
            </w:pP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660" w:type="dxa"/>
            <w:vAlign w:val="bottom"/>
            <w:gridSpan w:val="9"/>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67</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8.15</w:t>
            </w:r>
          </w:p>
        </w:tc>
        <w:tc>
          <w:tcPr>
            <w:tcW w:w="40" w:type="dxa"/>
            <w:vAlign w:val="bottom"/>
            <w:gridSpan w:val="2"/>
            <w:vMerge w:val="continue"/>
          </w:tcPr>
          <w:p>
            <w:pPr>
              <w:spacing w:after="0"/>
              <w:rPr>
                <w:sz w:val="12"/>
                <w:szCs w:val="12"/>
                <w:color w:val="auto"/>
              </w:rPr>
            </w:pPr>
          </w:p>
        </w:tc>
        <w:tc>
          <w:tcPr>
            <w:tcW w:w="1640" w:type="dxa"/>
            <w:vAlign w:val="bottom"/>
            <w:gridSpan w:val="29"/>
          </w:tcPr>
          <w:p>
            <w:pPr>
              <w:spacing w:after="0" w:line="142" w:lineRule="exact"/>
              <w:rPr>
                <w:sz w:val="20"/>
                <w:szCs w:val="20"/>
                <w:color w:val="auto"/>
              </w:rPr>
            </w:pPr>
            <w:r>
              <w:rPr>
                <w:rFonts w:ascii="Times New Roman" w:cs="Times New Roman" w:eastAsia="Times New Roman" w:hAnsi="Times New Roman"/>
                <w:sz w:val="14"/>
                <w:szCs w:val="14"/>
                <w:color w:val="auto"/>
              </w:rPr>
              <w:t>Waiver of Jury Trial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8.16</w:t>
            </w:r>
          </w:p>
        </w:tc>
        <w:tc>
          <w:tcPr>
            <w:tcW w:w="40" w:type="dxa"/>
            <w:vAlign w:val="bottom"/>
            <w:gridSpan w:val="2"/>
          </w:tcPr>
          <w:p>
            <w:pPr>
              <w:spacing w:after="0"/>
              <w:rPr>
                <w:sz w:val="12"/>
                <w:szCs w:val="12"/>
                <w:color w:val="auto"/>
              </w:rPr>
            </w:pPr>
          </w:p>
        </w:tc>
        <w:tc>
          <w:tcPr>
            <w:tcW w:w="1120" w:type="dxa"/>
            <w:vAlign w:val="bottom"/>
            <w:tcBorders>
              <w:top w:val="single" w:sz="8" w:color="auto"/>
            </w:tcBorders>
            <w:gridSpan w:val="19"/>
          </w:tcPr>
          <w:p>
            <w:pPr>
              <w:spacing w:after="0" w:line="142" w:lineRule="exact"/>
              <w:rPr>
                <w:sz w:val="20"/>
                <w:szCs w:val="20"/>
                <w:color w:val="auto"/>
              </w:rPr>
            </w:pPr>
            <w:r>
              <w:rPr>
                <w:rFonts w:ascii="Times New Roman" w:cs="Times New Roman" w:eastAsia="Times New Roman" w:hAnsi="Times New Roman"/>
                <w:sz w:val="14"/>
                <w:szCs w:val="14"/>
                <w:color w:val="auto"/>
              </w:rPr>
              <w:t>Counterparts.</w:t>
            </w:r>
          </w:p>
        </w:tc>
        <w:tc>
          <w:tcPr>
            <w:tcW w:w="20" w:type="dxa"/>
            <w:vAlign w:val="bottom"/>
          </w:tcPr>
          <w:p>
            <w:pPr>
              <w:spacing w:after="0"/>
              <w:rPr>
                <w:sz w:val="12"/>
                <w:szCs w:val="12"/>
                <w:color w:val="auto"/>
              </w:rPr>
            </w:pPr>
          </w:p>
        </w:tc>
        <w:tc>
          <w:tcPr>
            <w:tcW w:w="380" w:type="dxa"/>
            <w:vAlign w:val="bottom"/>
            <w:gridSpan w:val="6"/>
          </w:tcPr>
          <w:p>
            <w:pPr>
              <w:spacing w:after="0"/>
              <w:rPr>
                <w:sz w:val="12"/>
                <w:szCs w:val="12"/>
                <w:color w:val="auto"/>
              </w:rPr>
            </w:pP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760" w:type="dxa"/>
            <w:vAlign w:val="bottom"/>
            <w:tcBorders>
              <w:top w:val="single" w:sz="8" w:color="auto"/>
            </w:tcBorders>
            <w:gridSpan w:val="5"/>
          </w:tcPr>
          <w:p>
            <w:pPr>
              <w:spacing w:after="0" w:line="133" w:lineRule="exact"/>
              <w:rPr>
                <w:sz w:val="20"/>
                <w:szCs w:val="20"/>
                <w:color w:val="auto"/>
              </w:rPr>
            </w:pPr>
            <w:r>
              <w:rPr>
                <w:rFonts w:ascii="Times New Roman" w:cs="Times New Roman" w:eastAsia="Times New Roman" w:hAnsi="Times New Roman"/>
                <w:sz w:val="14"/>
                <w:szCs w:val="14"/>
                <w:color w:val="auto"/>
              </w:rPr>
              <w:t>Section 8.17</w:t>
            </w:r>
          </w:p>
        </w:tc>
        <w:tc>
          <w:tcPr>
            <w:tcW w:w="40" w:type="dxa"/>
            <w:vAlign w:val="bottom"/>
            <w:gridSpan w:val="2"/>
          </w:tcPr>
          <w:p>
            <w:pPr>
              <w:spacing w:after="0"/>
              <w:rPr>
                <w:sz w:val="11"/>
                <w:szCs w:val="11"/>
                <w:color w:val="auto"/>
              </w:rPr>
            </w:pPr>
          </w:p>
        </w:tc>
        <w:tc>
          <w:tcPr>
            <w:tcW w:w="760" w:type="dxa"/>
            <w:vAlign w:val="bottom"/>
            <w:tcBorders>
              <w:top w:val="single" w:sz="8" w:color="auto"/>
            </w:tcBorders>
            <w:gridSpan w:val="10"/>
          </w:tcPr>
          <w:p>
            <w:pPr>
              <w:spacing w:after="0" w:line="133" w:lineRule="exact"/>
              <w:rPr>
                <w:sz w:val="20"/>
                <w:szCs w:val="20"/>
                <w:color w:val="auto"/>
              </w:rPr>
            </w:pPr>
            <w:r>
              <w:rPr>
                <w:rFonts w:ascii="Times New Roman" w:cs="Times New Roman" w:eastAsia="Times New Roman" w:hAnsi="Times New Roman"/>
                <w:sz w:val="14"/>
                <w:szCs w:val="14"/>
                <w:color w:val="auto"/>
              </w:rPr>
              <w:t>Facsimile or</w:t>
            </w:r>
          </w:p>
        </w:tc>
        <w:tc>
          <w:tcPr>
            <w:tcW w:w="880" w:type="dxa"/>
            <w:vAlign w:val="bottom"/>
            <w:gridSpan w:val="19"/>
          </w:tcPr>
          <w:p>
            <w:pPr>
              <w:spacing w:after="0" w:line="133" w:lineRule="exact"/>
              <w:rPr>
                <w:sz w:val="20"/>
                <w:szCs w:val="20"/>
                <w:color w:val="auto"/>
              </w:rPr>
            </w:pPr>
            <w:r>
              <w:rPr>
                <w:rFonts w:ascii="Times New Roman" w:cs="Times New Roman" w:eastAsia="Times New Roman" w:hAnsi="Times New Roman"/>
                <w:sz w:val="14"/>
                <w:szCs w:val="14"/>
                <w:color w:val="auto"/>
              </w:rPr>
              <w:t>.pdf Signature.</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4"/>
          </w:tcPr>
          <w:p>
            <w:pPr>
              <w:jc w:val="right"/>
              <w:ind w:right="220"/>
              <w:spacing w:after="0" w:line="133" w:lineRule="exact"/>
              <w:rPr>
                <w:sz w:val="20"/>
                <w:szCs w:val="20"/>
                <w:color w:val="auto"/>
              </w:rPr>
            </w:pPr>
            <w:r>
              <w:rPr>
                <w:rFonts w:ascii="Times New Roman" w:cs="Times New Roman" w:eastAsia="Times New Roman" w:hAnsi="Times New Roman"/>
                <w:sz w:val="14"/>
                <w:szCs w:val="14"/>
                <w:color w:val="auto"/>
              </w:rPr>
              <w:t>67</w:t>
            </w: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8.18</w:t>
            </w:r>
          </w:p>
        </w:tc>
        <w:tc>
          <w:tcPr>
            <w:tcW w:w="40" w:type="dxa"/>
            <w:vAlign w:val="bottom"/>
            <w:gridSpan w:val="2"/>
          </w:tcPr>
          <w:p>
            <w:pPr>
              <w:spacing w:after="0"/>
              <w:rPr>
                <w:sz w:val="12"/>
                <w:szCs w:val="12"/>
                <w:color w:val="auto"/>
              </w:rPr>
            </w:pPr>
          </w:p>
        </w:tc>
        <w:tc>
          <w:tcPr>
            <w:tcW w:w="1520" w:type="dxa"/>
            <w:vAlign w:val="bottom"/>
            <w:tcBorders>
              <w:top w:val="single" w:sz="8" w:color="auto"/>
            </w:tcBorders>
            <w:gridSpan w:val="26"/>
          </w:tcPr>
          <w:p>
            <w:pPr>
              <w:spacing w:after="0" w:line="142" w:lineRule="exact"/>
              <w:rPr>
                <w:sz w:val="20"/>
                <w:szCs w:val="20"/>
                <w:color w:val="auto"/>
              </w:rPr>
            </w:pPr>
            <w:r>
              <w:rPr>
                <w:rFonts w:ascii="Times New Roman" w:cs="Times New Roman" w:eastAsia="Times New Roman" w:hAnsi="Times New Roman"/>
                <w:sz w:val="14"/>
                <w:szCs w:val="14"/>
                <w:color w:val="auto"/>
              </w:rPr>
              <w:t>Time of Essence.</w:t>
            </w: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67</w:t>
            </w: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8.19</w:t>
            </w:r>
          </w:p>
        </w:tc>
        <w:tc>
          <w:tcPr>
            <w:tcW w:w="40" w:type="dxa"/>
            <w:vAlign w:val="bottom"/>
            <w:gridSpan w:val="2"/>
          </w:tcPr>
          <w:p>
            <w:pPr>
              <w:spacing w:after="0"/>
              <w:rPr>
                <w:sz w:val="12"/>
                <w:szCs w:val="12"/>
                <w:color w:val="auto"/>
              </w:rPr>
            </w:pPr>
          </w:p>
        </w:tc>
        <w:tc>
          <w:tcPr>
            <w:tcW w:w="920" w:type="dxa"/>
            <w:vAlign w:val="bottom"/>
            <w:tcBorders>
              <w:top w:val="single" w:sz="8" w:color="auto"/>
            </w:tcBorders>
            <w:gridSpan w:val="14"/>
          </w:tcPr>
          <w:p>
            <w:pPr>
              <w:spacing w:after="0" w:line="142" w:lineRule="exact"/>
              <w:rPr>
                <w:sz w:val="20"/>
                <w:szCs w:val="20"/>
                <w:color w:val="auto"/>
              </w:rPr>
            </w:pPr>
            <w:r>
              <w:rPr>
                <w:rFonts w:ascii="Times New Roman" w:cs="Times New Roman" w:eastAsia="Times New Roman" w:hAnsi="Times New Roman"/>
                <w:sz w:val="14"/>
                <w:szCs w:val="14"/>
                <w:color w:val="auto"/>
                <w:w w:val="98"/>
              </w:rPr>
              <w:t>No Presumption</w:t>
            </w:r>
          </w:p>
        </w:tc>
        <w:tc>
          <w:tcPr>
            <w:tcW w:w="1900" w:type="dxa"/>
            <w:vAlign w:val="bottom"/>
            <w:gridSpan w:val="21"/>
          </w:tcPr>
          <w:p>
            <w:pPr>
              <w:jc w:val="right"/>
              <w:ind w:right="540"/>
              <w:spacing w:after="0" w:line="142" w:lineRule="exact"/>
              <w:rPr>
                <w:sz w:val="20"/>
                <w:szCs w:val="20"/>
                <w:color w:val="auto"/>
              </w:rPr>
            </w:pPr>
            <w:r>
              <w:rPr>
                <w:rFonts w:ascii="Times New Roman" w:cs="Times New Roman" w:eastAsia="Times New Roman" w:hAnsi="Times New Roman"/>
                <w:sz w:val="14"/>
                <w:szCs w:val="14"/>
                <w:color w:val="auto"/>
              </w:rPr>
              <w:t>Against Drafting Party.</w:t>
            </w:r>
          </w:p>
        </w:tc>
        <w:tc>
          <w:tcPr>
            <w:tcW w:w="1240" w:type="dxa"/>
            <w:vAlign w:val="bottom"/>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rPr>
              <w:t>67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60" w:type="dxa"/>
            <w:vAlign w:val="bottom"/>
            <w:gridSpan w:val="5"/>
            <w:shd w:val="clear" w:color="auto" w:fill="000000"/>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140" w:type="dxa"/>
            <w:vAlign w:val="bottom"/>
            <w:gridSpan w:val="20"/>
            <w:shd w:val="clear" w:color="auto" w:fill="000000"/>
          </w:tcPr>
          <w:p>
            <w:pPr>
              <w:spacing w:after="0" w:line="20" w:lineRule="exact"/>
              <w:rPr>
                <w:sz w:val="1"/>
                <w:szCs w:val="1"/>
                <w:color w:val="auto"/>
              </w:rPr>
            </w:pPr>
          </w:p>
        </w:tc>
        <w:tc>
          <w:tcPr>
            <w:tcW w:w="500" w:type="dxa"/>
            <w:vAlign w:val="bottom"/>
            <w:gridSpan w:val="9"/>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0" w:type="dxa"/>
            <w:vAlign w:val="bottom"/>
          </w:tcPr>
          <w:p>
            <w:pPr>
              <w:spacing w:after="0"/>
              <w:rPr>
                <w:sz w:val="12"/>
                <w:szCs w:val="12"/>
                <w:color w:val="auto"/>
              </w:rPr>
            </w:pPr>
          </w:p>
        </w:tc>
        <w:tc>
          <w:tcPr>
            <w:tcW w:w="760" w:type="dxa"/>
            <w:vAlign w:val="bottom"/>
            <w:tcBorders>
              <w:bottom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color w:val="auto"/>
              </w:rPr>
              <w:t>Section 8.20</w:t>
            </w:r>
          </w:p>
        </w:tc>
        <w:tc>
          <w:tcPr>
            <w:tcW w:w="40" w:type="dxa"/>
            <w:vAlign w:val="bottom"/>
            <w:gridSpan w:val="2"/>
            <w:vMerge w:val="continue"/>
          </w:tcPr>
          <w:p>
            <w:pPr>
              <w:spacing w:after="0"/>
              <w:rPr>
                <w:sz w:val="12"/>
                <w:szCs w:val="12"/>
                <w:color w:val="auto"/>
              </w:rPr>
            </w:pPr>
          </w:p>
        </w:tc>
        <w:tc>
          <w:tcPr>
            <w:tcW w:w="1140" w:type="dxa"/>
            <w:vAlign w:val="bottom"/>
            <w:tcBorders>
              <w:bottom w:val="single" w:sz="8" w:color="auto"/>
            </w:tcBorders>
            <w:gridSpan w:val="20"/>
          </w:tcPr>
          <w:p>
            <w:pPr>
              <w:spacing w:after="0" w:line="142" w:lineRule="exact"/>
              <w:rPr>
                <w:sz w:val="20"/>
                <w:szCs w:val="20"/>
                <w:color w:val="auto"/>
              </w:rPr>
            </w:pPr>
            <w:r>
              <w:rPr>
                <w:rFonts w:ascii="Times New Roman" w:cs="Times New Roman" w:eastAsia="Times New Roman" w:hAnsi="Times New Roman"/>
                <w:sz w:val="14"/>
                <w:szCs w:val="14"/>
                <w:color w:val="auto"/>
                <w:w w:val="97"/>
              </w:rPr>
              <w:t>Waiver and Consent</w:t>
            </w:r>
          </w:p>
        </w:tc>
        <w:tc>
          <w:tcPr>
            <w:tcW w:w="50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jc w:val="right"/>
              <w:ind w:right="500"/>
              <w:spacing w:after="0" w:line="142" w:lineRule="exact"/>
              <w:rPr>
                <w:sz w:val="20"/>
                <w:szCs w:val="20"/>
                <w:color w:val="auto"/>
              </w:rPr>
            </w:pPr>
            <w:r>
              <w:rPr>
                <w:rFonts w:ascii="Times New Roman" w:cs="Times New Roman" w:eastAsia="Times New Roman" w:hAnsi="Times New Roman"/>
                <w:sz w:val="14"/>
                <w:szCs w:val="14"/>
                <w:color w:val="auto"/>
              </w:rPr>
              <w:t>67</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300"/>
          </w:cols>
          <w:pgMar w:left="300" w:top="290" w:right="2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 A – Form of Employment Agreement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 B – Form of Confidentiality and Restrictive Covenants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 C – Form of Restrictive Covenant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 D – Form of Escrow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 E – Form of Royalty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 F – Closing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300"/>
          </w:cols>
          <w:pgMar w:left="300" w:top="290" w:right="2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PURCHASE AGREEMENT</w:t>
      </w:r>
    </w:p>
    <w:p>
      <w:pPr>
        <w:spacing w:after="0" w:line="19"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Securities PURCHASE AGREEMENT, dated as of June 12, 2026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among Natural Gas Services Group, Inc., a Colorado corporation (the “</w:t>
      </w:r>
      <w:r>
        <w:rPr>
          <w:rFonts w:ascii="Times New Roman" w:cs="Times New Roman" w:eastAsia="Times New Roman" w:hAnsi="Times New Roman"/>
          <w:sz w:val="14"/>
          <w:szCs w:val="14"/>
          <w:u w:val="single" w:color="auto"/>
          <w:color w:val="auto"/>
        </w:rPr>
        <w:t>Buyer</w:t>
      </w:r>
      <w:r>
        <w:rPr>
          <w:rFonts w:ascii="Times New Roman" w:cs="Times New Roman" w:eastAsia="Times New Roman" w:hAnsi="Times New Roman"/>
          <w:sz w:val="14"/>
          <w:szCs w:val="14"/>
          <w:color w:val="auto"/>
        </w:rPr>
        <w:t>”), the undersigned holders of all the membership interests of the Company (each, a “</w:t>
      </w:r>
      <w:r>
        <w:rPr>
          <w:rFonts w:ascii="Times New Roman" w:cs="Times New Roman" w:eastAsia="Times New Roman" w:hAnsi="Times New Roman"/>
          <w:sz w:val="14"/>
          <w:szCs w:val="14"/>
          <w:u w:val="single" w:color="auto"/>
          <w:color w:val="auto"/>
        </w:rPr>
        <w:t>Seller</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u w:val="single" w:color="auto"/>
          <w:color w:val="auto"/>
        </w:rPr>
        <w:t>Sellers</w:t>
      </w:r>
      <w:r>
        <w:rPr>
          <w:rFonts w:ascii="Times New Roman" w:cs="Times New Roman" w:eastAsia="Times New Roman" w:hAnsi="Times New Roman"/>
          <w:sz w:val="14"/>
          <w:szCs w:val="14"/>
          <w:color w:val="auto"/>
        </w:rPr>
        <w:t>”), Flatrock Compression Holdings LLC, a Delaware limited liability company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and Mule Deer Sky LLC, a Texas limited liability company, solely in its capacity as the Sellers Representative hereunder (the “</w:t>
      </w:r>
      <w:r>
        <w:rPr>
          <w:rFonts w:ascii="Times New Roman" w:cs="Times New Roman" w:eastAsia="Times New Roman" w:hAnsi="Times New Roman"/>
          <w:sz w:val="14"/>
          <w:szCs w:val="14"/>
          <w:u w:val="single" w:color="auto"/>
          <w:color w:val="auto"/>
        </w:rPr>
        <w:t>Sellers Representative</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 The Sellers collectively own 100% of the issued and outstanding membership interests (the “</w:t>
      </w:r>
      <w:r>
        <w:rPr>
          <w:rFonts w:ascii="Times New Roman" w:cs="Times New Roman" w:eastAsia="Times New Roman" w:hAnsi="Times New Roman"/>
          <w:sz w:val="14"/>
          <w:szCs w:val="14"/>
          <w:u w:val="single" w:color="auto"/>
          <w:color w:val="auto"/>
        </w:rPr>
        <w:t>Equity Interests</w:t>
      </w:r>
      <w:r>
        <w:rPr>
          <w:rFonts w:ascii="Times New Roman" w:cs="Times New Roman" w:eastAsia="Times New Roman" w:hAnsi="Times New Roman"/>
          <w:sz w:val="14"/>
          <w:szCs w:val="14"/>
          <w:color w:val="auto"/>
        </w:rPr>
        <w:t>”) of the Company.</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B. The Sellers wish to sell to the Buyer, and the Buyer wishes to purchase from the Sellers, the Equity Interests, upon the terms and subject to the conditions of this Agreement.</w:t>
      </w:r>
    </w:p>
    <w:p>
      <w:pPr>
        <w:spacing w:after="0" w:line="1" w:lineRule="exact"/>
        <w:rPr>
          <w:sz w:val="20"/>
          <w:szCs w:val="20"/>
          <w:color w:val="auto"/>
        </w:rPr>
      </w:pPr>
    </w:p>
    <w:p>
      <w:pPr>
        <w:jc w:val="both"/>
        <w:ind w:firstLine="432"/>
        <w:spacing w:after="0" w:line="234" w:lineRule="auto"/>
        <w:rPr>
          <w:sz w:val="20"/>
          <w:szCs w:val="20"/>
          <w:color w:val="auto"/>
        </w:rPr>
      </w:pPr>
      <w:r>
        <w:rPr>
          <w:rFonts w:ascii="Times New Roman" w:cs="Times New Roman" w:eastAsia="Times New Roman" w:hAnsi="Times New Roman"/>
          <w:sz w:val="14"/>
          <w:szCs w:val="14"/>
          <w:color w:val="auto"/>
        </w:rPr>
        <w:t xml:space="preserve">C. On the date hereof, the Buyer and B.J. Ellis, Jr. have executed and delivered an Employment Agreement in the form set forth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and a Confidentiality and Restrictive Covenants Agreement in the form set forth on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 xml:space="preserve">D. On the date hereof, the Buyer and each of Steve R. Dutton and Robert T. Herrin III have executed and delivered a Restrictive Covenant Agreement in the form set forth on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AGREEMENT</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In consideration of the foregoing and the mutual covenants and agreements herein contained, and intending to be legally bound hereby, the parties agree as follows:</w:t>
      </w:r>
    </w:p>
    <w:p>
      <w:pPr>
        <w:spacing w:after="0" w:line="1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color w:val="auto"/>
        </w:rPr>
        <w:t>Article I</w:t>
      </w:r>
    </w:p>
    <w:p>
      <w:pPr>
        <w:spacing w:after="0" w:line="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color w:val="auto"/>
        </w:rPr>
        <w:t>DEFINITIONS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 xml:space="preserve">1.1.Certain Defined Terms. </w:t>
      </w:r>
      <w:r>
        <w:rPr>
          <w:rFonts w:ascii="Times New Roman" w:cs="Times New Roman" w:eastAsia="Times New Roman" w:hAnsi="Times New Roman"/>
          <w:sz w:val="14"/>
          <w:szCs w:val="14"/>
          <w:u w:val="single" w:color="auto"/>
          <w:color w:val="auto"/>
        </w:rPr>
        <w:t>For purposes of this Agreement:</w:t>
      </w:r>
    </w:p>
    <w:p>
      <w:pPr>
        <w:spacing w:after="0" w:line="1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Action</w:t>
      </w:r>
      <w:r>
        <w:rPr>
          <w:rFonts w:ascii="Times New Roman" w:cs="Times New Roman" w:eastAsia="Times New Roman" w:hAnsi="Times New Roman"/>
          <w:sz w:val="14"/>
          <w:szCs w:val="14"/>
          <w:color w:val="auto"/>
        </w:rPr>
        <w:t>” means any claim, action, suit, inquiry, proceeding, demand, audit or investigation by or before any Governmental Authority, or any other arbitration, mediation or similar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proceeding.</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Adjustment Escrow Amount</w:t>
      </w:r>
      <w:r>
        <w:rPr>
          <w:rFonts w:ascii="Times New Roman" w:cs="Times New Roman" w:eastAsia="Times New Roman" w:hAnsi="Times New Roman"/>
          <w:sz w:val="14"/>
          <w:szCs w:val="14"/>
          <w:color w:val="auto"/>
        </w:rPr>
        <w:t>” means $2,250,000.</w:t>
      </w:r>
    </w:p>
    <w:p>
      <w:pPr>
        <w:spacing w:after="0" w:line="37"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Adjustment Escrow Fund</w:t>
      </w:r>
      <w:r>
        <w:rPr>
          <w:rFonts w:ascii="Times New Roman" w:cs="Times New Roman" w:eastAsia="Times New Roman" w:hAnsi="Times New Roman"/>
          <w:sz w:val="14"/>
          <w:szCs w:val="14"/>
          <w:color w:val="auto"/>
        </w:rPr>
        <w:t>” means the Adjustment Escrow Amount deposited with the Escrow Agent, as such amount may be increased or decreased as provided in this Agreement and the Escrow Agreement, including any remaining interest or other amounts earned thereon.</w:t>
      </w:r>
    </w:p>
    <w:p>
      <w:pPr>
        <w:spacing w:after="0" w:line="1" w:lineRule="exact"/>
        <w:rPr>
          <w:sz w:val="20"/>
          <w:szCs w:val="20"/>
          <w:color w:val="auto"/>
        </w:rPr>
      </w:pPr>
    </w:p>
    <w:p>
      <w:pPr>
        <w:jc w:val="both"/>
        <w:ind w:right="20" w:firstLine="864"/>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with respect to any Person, any other Person that directly, or indirectly through one or more intermediaries, controls, is controlled by, or is under common control with, such first Person.</w:t>
      </w:r>
    </w:p>
    <w:p>
      <w:pPr>
        <w:jc w:val="both"/>
        <w:ind w:firstLine="864"/>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Aggregate Cash Closing Consideration</w:t>
      </w:r>
      <w:r>
        <w:rPr>
          <w:rFonts w:ascii="Times New Roman" w:cs="Times New Roman" w:eastAsia="Times New Roman" w:hAnsi="Times New Roman"/>
          <w:sz w:val="14"/>
          <w:szCs w:val="14"/>
          <w:color w:val="auto"/>
        </w:rPr>
        <w:t xml:space="preserve">” means (i) the Estimated Purchase Price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(ii) the product of the Aggregate Stock Closing Consideration </w:t>
      </w:r>
      <w:r>
        <w:rPr>
          <w:rFonts w:ascii="Times New Roman" w:cs="Times New Roman" w:eastAsia="Times New Roman" w:hAnsi="Times New Roman"/>
          <w:sz w:val="14"/>
          <w:szCs w:val="14"/>
          <w:u w:val="single" w:color="auto"/>
          <w:color w:val="auto"/>
        </w:rPr>
        <w:t>multiplied by</w:t>
      </w:r>
      <w:r>
        <w:rPr>
          <w:rFonts w:ascii="Times New Roman" w:cs="Times New Roman" w:eastAsia="Times New Roman" w:hAnsi="Times New Roman"/>
          <w:sz w:val="14"/>
          <w:szCs w:val="14"/>
          <w:color w:val="auto"/>
        </w:rPr>
        <w:t xml:space="preserve"> the Price Per Share,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(iii) the aggregate Fractional Share Cash Amount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(iv) the Adjustment Escrow Amount.</w:t>
      </w: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Aggregate Closing Consideration</w:t>
      </w:r>
      <w:r>
        <w:rPr>
          <w:rFonts w:ascii="Times New Roman" w:cs="Times New Roman" w:eastAsia="Times New Roman" w:hAnsi="Times New Roman"/>
          <w:sz w:val="14"/>
          <w:szCs w:val="14"/>
          <w:color w:val="auto"/>
        </w:rPr>
        <w:t>” means, collectively, the Aggregate Cash Closing Consideration, the Aggregate Stock Closing Consideration and the aggregate Fractional Share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Amount.</w:t>
      </w:r>
    </w:p>
    <w:p>
      <w:pPr>
        <w:spacing w:after="0" w:line="21" w:lineRule="exact"/>
        <w:rPr>
          <w:sz w:val="20"/>
          <w:szCs w:val="20"/>
          <w:color w:val="auto"/>
        </w:rPr>
      </w:pPr>
    </w:p>
    <w:p>
      <w:pPr>
        <w:jc w:val="both"/>
        <w:ind w:right="20" w:firstLine="864"/>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Aggregate Stock Closing Consideration</w:t>
      </w:r>
      <w:r>
        <w:rPr>
          <w:rFonts w:ascii="Times New Roman" w:cs="Times New Roman" w:eastAsia="Times New Roman" w:hAnsi="Times New Roman"/>
          <w:sz w:val="14"/>
          <w:szCs w:val="14"/>
          <w:color w:val="auto"/>
        </w:rPr>
        <w:t xml:space="preserve">” means 241,803 Buyer Common Shares, which represents (i) 241,838 Buyer Common Shares, less (ii) 35 Buyer Common Shares reflecting the aggregate number of fractional share interests in respect of which Buyer will make a cash in lieu of payment pursuant to </w:t>
      </w:r>
      <w:r>
        <w:rPr>
          <w:rFonts w:ascii="Times New Roman" w:cs="Times New Roman" w:eastAsia="Times New Roman" w:hAnsi="Times New Roman"/>
          <w:sz w:val="14"/>
          <w:szCs w:val="14"/>
          <w:u w:val="single" w:color="auto"/>
          <w:color w:val="auto"/>
        </w:rPr>
        <w:t>Section 2.2(c)</w:t>
      </w:r>
      <w:r>
        <w:rPr>
          <w:rFonts w:ascii="Times New Roman" w:cs="Times New Roman" w:eastAsia="Times New Roman" w:hAnsi="Times New Roman"/>
          <w:sz w:val="14"/>
          <w:szCs w:val="14"/>
          <w:color w:val="auto"/>
        </w:rPr>
        <w:t xml:space="preserve"> (rounded to the nearest share).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300"/>
          </w:cols>
          <w:pgMar w:left="300" w:top="290" w:right="2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Ancillary Agreements</w:t>
      </w:r>
      <w:r>
        <w:rPr>
          <w:rFonts w:ascii="Times New Roman" w:cs="Times New Roman" w:eastAsia="Times New Roman" w:hAnsi="Times New Roman"/>
          <w:sz w:val="14"/>
          <w:szCs w:val="14"/>
          <w:color w:val="auto"/>
        </w:rPr>
        <w:t>” means the Employment Agreement, the Restrictive Covenant Agreements, the Escrow Agreement and the Royalty Agreement.</w:t>
      </w:r>
    </w:p>
    <w:p>
      <w:pPr>
        <w:spacing w:after="0" w:line="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any day that is not a Saturday, a Sunday or other day on which banks are required or authorized by Law to be closed in The City of New York.</w:t>
      </w:r>
    </w:p>
    <w:p>
      <w:pPr>
        <w:spacing w:after="0" w:line="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Common Shares</w:t>
      </w:r>
      <w:r>
        <w:rPr>
          <w:rFonts w:ascii="Times New Roman" w:cs="Times New Roman" w:eastAsia="Times New Roman" w:hAnsi="Times New Roman"/>
          <w:sz w:val="14"/>
          <w:szCs w:val="14"/>
          <w:color w:val="auto"/>
        </w:rPr>
        <w:t>” means shares of common stock of Buyer, par value $0.01 per share.</w:t>
      </w:r>
    </w:p>
    <w:p>
      <w:pPr>
        <w:spacing w:after="0" w:line="23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Calculation Time</w:t>
      </w:r>
      <w:r>
        <w:rPr>
          <w:rFonts w:ascii="Times New Roman" w:cs="Times New Roman" w:eastAsia="Times New Roman" w:hAnsi="Times New Roman"/>
          <w:sz w:val="14"/>
          <w:szCs w:val="14"/>
          <w:color w:val="auto"/>
        </w:rPr>
        <w:t>” means 11:59 p.m., Eastern Time, on the day immediately preceding the date hereof.</w:t>
      </w:r>
    </w:p>
    <w:p>
      <w:pPr>
        <w:spacing w:after="0" w:line="235"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w:t>
      </w:r>
      <w:r>
        <w:rPr>
          <w:rFonts w:ascii="Times New Roman" w:cs="Times New Roman" w:eastAsia="Times New Roman" w:hAnsi="Times New Roman"/>
          <w:sz w:val="14"/>
          <w:szCs w:val="14"/>
          <w:color w:val="auto"/>
        </w:rPr>
        <w:t>” means, as at a specified date, the aggregate amount of all cash and cash equivalents of the Company and its Subsidiaries required to be reflected as cash and cash equivalents on a consolidated balance sheet of the Company and its Subsidiaries as of such date prepared in accordance with GAAP, net of (i) any outstanding checks, wires and bank overdrafts of the Company or its Subsidiaries and (ii) any amounts relating to credit card receivables or Restricted Cash, in the case of each of clauses (i) and (ii), whether or not required to be reported as such under GAAP.</w:t>
      </w:r>
    </w:p>
    <w:p>
      <w:pPr>
        <w:spacing w:after="0" w:line="16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Class A Units</w:t>
      </w:r>
      <w:r>
        <w:rPr>
          <w:rFonts w:ascii="Times New Roman" w:cs="Times New Roman" w:eastAsia="Times New Roman" w:hAnsi="Times New Roman"/>
          <w:sz w:val="14"/>
          <w:szCs w:val="14"/>
          <w:color w:val="auto"/>
        </w:rPr>
        <w:t>” means the Class A membership interests of the Company.</w:t>
      </w:r>
    </w:p>
    <w:p>
      <w:pPr>
        <w:spacing w:after="0" w:line="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Class B Units</w:t>
      </w:r>
      <w:r>
        <w:rPr>
          <w:rFonts w:ascii="Times New Roman" w:cs="Times New Roman" w:eastAsia="Times New Roman" w:hAnsi="Times New Roman"/>
          <w:sz w:val="14"/>
          <w:szCs w:val="14"/>
          <w:color w:val="auto"/>
        </w:rPr>
        <w:t>” means the Class B membership interests of the Company.</w:t>
      </w:r>
    </w:p>
    <w:p>
      <w:pPr>
        <w:spacing w:after="0" w:line="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Class C Units</w:t>
      </w:r>
      <w:r>
        <w:rPr>
          <w:rFonts w:ascii="Times New Roman" w:cs="Times New Roman" w:eastAsia="Times New Roman" w:hAnsi="Times New Roman"/>
          <w:sz w:val="14"/>
          <w:szCs w:val="14"/>
          <w:color w:val="auto"/>
        </w:rPr>
        <w:t>” means the Class C membership interests of the Company.</w:t>
      </w:r>
    </w:p>
    <w:p>
      <w:pPr>
        <w:spacing w:after="0" w:line="37"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LLC Agreement</w:t>
      </w:r>
      <w:r>
        <w:rPr>
          <w:rFonts w:ascii="Times New Roman" w:cs="Times New Roman" w:eastAsia="Times New Roman" w:hAnsi="Times New Roman"/>
          <w:sz w:val="14"/>
          <w:szCs w:val="14"/>
          <w:color w:val="auto"/>
        </w:rPr>
        <w:t>” means the Amended and Restated Limited Liability Company Agreement of the Company, dated as of April 1, 2024, as amended, restated, supplemented or otherwise modified from time to time.</w:t>
      </w: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Owned IP</w:t>
      </w:r>
      <w:r>
        <w:rPr>
          <w:rFonts w:ascii="Times New Roman" w:cs="Times New Roman" w:eastAsia="Times New Roman" w:hAnsi="Times New Roman"/>
          <w:sz w:val="14"/>
          <w:szCs w:val="14"/>
          <w:color w:val="auto"/>
        </w:rPr>
        <w:t>” means Intellectual Property owned, or purported to be owned, in whole or in part by the Company or its Subsidiaries.</w:t>
      </w:r>
    </w:p>
    <w:p>
      <w:pPr>
        <w:spacing w:after="0" w:line="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Confidentiality and Restrictive Covenants Agreement</w:t>
      </w:r>
      <w:r>
        <w:rPr>
          <w:rFonts w:ascii="Times New Roman" w:cs="Times New Roman" w:eastAsia="Times New Roman" w:hAnsi="Times New Roman"/>
          <w:sz w:val="14"/>
          <w:szCs w:val="14"/>
          <w:color w:val="auto"/>
        </w:rPr>
        <w:t>” means the Confidentiality and Restrictive Covenants Agreement, dated as of the date hereof, between the Buyer and B.J.</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Ellis, Jr., substantially in the form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w:t>
      </w:r>
    </w:p>
    <w:p>
      <w:pPr>
        <w:spacing w:after="0" w:line="21" w:lineRule="exact"/>
        <w:rPr>
          <w:sz w:val="20"/>
          <w:szCs w:val="20"/>
          <w:color w:val="auto"/>
        </w:rPr>
      </w:pPr>
    </w:p>
    <w:p>
      <w:pPr>
        <w:jc w:val="both"/>
        <w:ind w:firstLine="864"/>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Contract</w:t>
      </w:r>
      <w:r>
        <w:rPr>
          <w:rFonts w:ascii="Times New Roman" w:cs="Times New Roman" w:eastAsia="Times New Roman" w:hAnsi="Times New Roman"/>
          <w:sz w:val="14"/>
          <w:szCs w:val="14"/>
          <w:color w:val="auto"/>
        </w:rPr>
        <w:t>” means any contract, agreement, arrangement or understanding (including purchase orders), whether written or oral and whether express or implied. “</w:t>
      </w:r>
      <w:r>
        <w:rPr>
          <w:rFonts w:ascii="Times New Roman" w:cs="Times New Roman" w:eastAsia="Times New Roman" w:hAnsi="Times New Roman"/>
          <w:sz w:val="14"/>
          <w:szCs w:val="14"/>
          <w:u w:val="single" w:color="auto"/>
          <w:color w:val="auto"/>
        </w:rPr>
        <w:t>control</w:t>
      </w:r>
      <w:r>
        <w:rPr>
          <w:rFonts w:ascii="Times New Roman" w:cs="Times New Roman" w:eastAsia="Times New Roman" w:hAnsi="Times New Roman"/>
          <w:sz w:val="14"/>
          <w:szCs w:val="14"/>
          <w:color w:val="auto"/>
        </w:rPr>
        <w:t>,” including the terms “</w:t>
      </w:r>
      <w:r>
        <w:rPr>
          <w:rFonts w:ascii="Times New Roman" w:cs="Times New Roman" w:eastAsia="Times New Roman" w:hAnsi="Times New Roman"/>
          <w:sz w:val="14"/>
          <w:szCs w:val="14"/>
          <w:u w:val="single" w:color="auto"/>
          <w:color w:val="auto"/>
        </w:rPr>
        <w:t>controlled by</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under common control with</w:t>
      </w:r>
      <w:r>
        <w:rPr>
          <w:rFonts w:ascii="Times New Roman" w:cs="Times New Roman" w:eastAsia="Times New Roman" w:hAnsi="Times New Roman"/>
          <w:sz w:val="14"/>
          <w:szCs w:val="14"/>
          <w:color w:val="auto"/>
        </w:rPr>
        <w:t>,” means the possession, directly or indirectly, of the power to direct or cause the direction of the management and policies of a Person, whether through the ownership of voting securities, as trustee or executor, as general partner or managing member, by Contract or otherwise, including the ownership, directly or indirectly, of securities having the power to elect a majority of the board of managers, directors or similar body governing the affairs of such Person.</w:t>
      </w:r>
    </w:p>
    <w:p>
      <w:pPr>
        <w:spacing w:after="0" w:line="4"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Data Protection Requirements</w:t>
      </w:r>
      <w:r>
        <w:rPr>
          <w:rFonts w:ascii="Times New Roman" w:cs="Times New Roman" w:eastAsia="Times New Roman" w:hAnsi="Times New Roman"/>
          <w:sz w:val="14"/>
          <w:szCs w:val="14"/>
          <w:color w:val="auto"/>
        </w:rPr>
        <w:t>” means, as they relate to data privacy, data or cybersecurity, data protection, data breach notification, data localization, artificial intelligence or automated decision-making technology, telemarketing or sending solicited or unsolicited electronic mail or text messages, cookies or other tracking technology, or the Processing of Personal Information: (i) all applicable Laws and legally binding guidelines from Governmental Authorities, including, in each case to the extent applicable to the Company or any of its Subsidiaries, Section 5 of the Federal Trade Commission Act, the U.S. Department of Justice’s Data Security Program (28 C.F.R. § 202), the Protecting Americans’ Data from Foreign Adversaries Act (PADFAA), the Fair Credit Reporting Act, the Health Insurance Portability and Accountability Act, as amended by the Health Information Technology for Economic and Clinical Health Act (“</w:t>
      </w:r>
      <w:r>
        <w:rPr>
          <w:rFonts w:ascii="Times New Roman" w:cs="Times New Roman" w:eastAsia="Times New Roman" w:hAnsi="Times New Roman"/>
          <w:sz w:val="14"/>
          <w:szCs w:val="14"/>
          <w:u w:val="single" w:color="auto"/>
          <w:color w:val="auto"/>
        </w:rPr>
        <w:t>HIPAA</w:t>
      </w:r>
      <w:r>
        <w:rPr>
          <w:rFonts w:ascii="Times New Roman" w:cs="Times New Roman" w:eastAsia="Times New Roman" w:hAnsi="Times New Roman"/>
          <w:sz w:val="14"/>
          <w:szCs w:val="14"/>
          <w:color w:val="auto"/>
        </w:rPr>
        <w:t>”), the Gramm-Leach-Bliley Act, the Children’s Online Privacy Protection Act, the Controlling the Assault of Non-Solicited Pornography And Marketing Act of 2003, the Telephone Consumer Protection Act, the California Consumer Privacy Act of 2018, as amended by the California Privacy Rights Act of 2020, the Texas Data Privacy and Security Act, Texas’s Capture or Use of Biometric Identifier Act, the Texas Responsible Artificial Intelligence Governance Act,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300"/>
          </w:cols>
          <w:pgMar w:left="300" w:top="290" w:right="2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wiretapping Laws, U.S. state consumer protection Laws and U.S. state data breach notification Laws (collectively,</w:t>
      </w:r>
    </w:p>
    <w:p>
      <w:pPr>
        <w:spacing w:after="0" w:line="37"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Data Protection Laws</w:t>
      </w:r>
      <w:r>
        <w:rPr>
          <w:rFonts w:ascii="Times New Roman" w:cs="Times New Roman" w:eastAsia="Times New Roman" w:hAnsi="Times New Roman"/>
          <w:sz w:val="14"/>
          <w:szCs w:val="14"/>
          <w:color w:val="auto"/>
        </w:rPr>
        <w:t>”); (ii) the Payment Card Industry Data Security Standard; (iii) all contractual obligations to which the Company or any of its Subsidiaries is bound; and (iv) the Company’s and its Subsidiaries’ externally presented policies procedures, and written or oral statements or representations made by the Company or any of its Subsidiaries.</w:t>
      </w: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Employment Agreement</w:t>
      </w:r>
      <w:r>
        <w:rPr>
          <w:rFonts w:ascii="Times New Roman" w:cs="Times New Roman" w:eastAsia="Times New Roman" w:hAnsi="Times New Roman"/>
          <w:sz w:val="14"/>
          <w:szCs w:val="14"/>
          <w:color w:val="auto"/>
        </w:rPr>
        <w:t xml:space="preserve">” means the Employment Agreement, dated as of the date hereof, between the Buyer and B.J. Ellis, Jr., substantially in the form attached hereto as </w:t>
      </w:r>
      <w:r>
        <w:rPr>
          <w:rFonts w:ascii="Times New Roman" w:cs="Times New Roman" w:eastAsia="Times New Roman" w:hAnsi="Times New Roman"/>
          <w:sz w:val="14"/>
          <w:szCs w:val="14"/>
          <w:u w:val="single" w:color="auto"/>
          <w:color w:val="auto"/>
        </w:rPr>
        <w:t>Exhibit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w:t>
      </w:r>
      <w:r>
        <w:rPr>
          <w:rFonts w:ascii="Times New Roman" w:cs="Times New Roman" w:eastAsia="Times New Roman" w:hAnsi="Times New Roman"/>
          <w:sz w:val="14"/>
          <w:szCs w:val="14"/>
          <w:color w:val="auto"/>
        </w:rPr>
        <w:t>.</w:t>
      </w:r>
    </w:p>
    <w:p>
      <w:pPr>
        <w:spacing w:after="0" w:line="21"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Encumbrance</w:t>
      </w:r>
      <w:r>
        <w:rPr>
          <w:rFonts w:ascii="Times New Roman" w:cs="Times New Roman" w:eastAsia="Times New Roman" w:hAnsi="Times New Roman"/>
          <w:sz w:val="14"/>
          <w:szCs w:val="14"/>
          <w:color w:val="auto"/>
        </w:rPr>
        <w:t>” means any charge, claim, limitation, condition, equitable interest, mortgage, lien, option, pledge, security interest, easement, encroachment, license, covenant not to sue, right of first refusal, adverse claim or restriction of any kind, including any restriction on transfer or other assignment, as security or otherwise, of or relating to use, quiet enjoyment, voting, transfer, receipt of income or exercise of any other attribute of ownership.</w:t>
      </w:r>
    </w:p>
    <w:p>
      <w:pPr>
        <w:spacing w:after="0" w:line="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Enterprise Value</w:t>
      </w:r>
      <w:r>
        <w:rPr>
          <w:rFonts w:ascii="Times New Roman" w:cs="Times New Roman" w:eastAsia="Times New Roman" w:hAnsi="Times New Roman"/>
          <w:sz w:val="14"/>
          <w:szCs w:val="14"/>
          <w:color w:val="auto"/>
        </w:rPr>
        <w:t xml:space="preserve">” means $120,000,000 plus reimbursement of costs of new equipment as set forth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means the Employee Retirement Income Security Act of 1974, as amended.</w:t>
      </w:r>
    </w:p>
    <w:p>
      <w:pPr>
        <w:spacing w:after="0" w:line="37"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 Affiliate</w:t>
      </w:r>
      <w:r>
        <w:rPr>
          <w:rFonts w:ascii="Times New Roman" w:cs="Times New Roman" w:eastAsia="Times New Roman" w:hAnsi="Times New Roman"/>
          <w:sz w:val="14"/>
          <w:szCs w:val="14"/>
          <w:color w:val="auto"/>
        </w:rPr>
        <w:t>” means any trade or business, whether or not incorporated, under common control with the Company or any of its Subsidiaries and that, together with the Company or any of its Subsidiaries, is treated as a single employer within the meaning of Section 414(b), (c), (m) or (o) of the Code.</w:t>
      </w:r>
    </w:p>
    <w:p>
      <w:pPr>
        <w:jc w:val="both"/>
        <w:ind w:firstLine="864"/>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Escrow Agent</w:t>
      </w:r>
      <w:r>
        <w:rPr>
          <w:rFonts w:ascii="Times New Roman" w:cs="Times New Roman" w:eastAsia="Times New Roman" w:hAnsi="Times New Roman"/>
          <w:sz w:val="14"/>
          <w:szCs w:val="14"/>
          <w:color w:val="auto"/>
        </w:rPr>
        <w:t>” means Computershare Trust Company, National Association, a national banking association organized under the laws of the United States, or its successor under the Escrow Agreement. “</w:t>
      </w:r>
      <w:r>
        <w:rPr>
          <w:rFonts w:ascii="Times New Roman" w:cs="Times New Roman" w:eastAsia="Times New Roman" w:hAnsi="Times New Roman"/>
          <w:sz w:val="14"/>
          <w:szCs w:val="14"/>
          <w:u w:val="single" w:color="auto"/>
          <w:color w:val="auto"/>
        </w:rPr>
        <w:t>Escrow Agreement</w:t>
      </w:r>
      <w:r>
        <w:rPr>
          <w:rFonts w:ascii="Times New Roman" w:cs="Times New Roman" w:eastAsia="Times New Roman" w:hAnsi="Times New Roman"/>
          <w:sz w:val="14"/>
          <w:szCs w:val="14"/>
          <w:color w:val="auto"/>
        </w:rPr>
        <w:t xml:space="preserve">” means the Escrow Agreement dated the date hereof among the Buyer, the Sellers Representative and the Escrow Agent, substantially in the form of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w:t>
      </w:r>
    </w:p>
    <w:p>
      <w:pPr>
        <w:spacing w:after="0" w:line="161" w:lineRule="exact"/>
        <w:rPr>
          <w:sz w:val="20"/>
          <w:szCs w:val="20"/>
          <w:color w:val="auto"/>
        </w:rPr>
      </w:pPr>
    </w:p>
    <w:p>
      <w:pPr>
        <w:jc w:val="both"/>
        <w:ind w:right="20" w:firstLine="864"/>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Estimated Purchase Price</w:t>
      </w:r>
      <w:r>
        <w:rPr>
          <w:rFonts w:ascii="Times New Roman" w:cs="Times New Roman" w:eastAsia="Times New Roman" w:hAnsi="Times New Roman"/>
          <w:sz w:val="14"/>
          <w:szCs w:val="14"/>
          <w:color w:val="auto"/>
        </w:rPr>
        <w:t xml:space="preserve">” means an amount equal to (i) the Enterprise Value,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(ii) the Estimated Cash,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(iii) the Working Capital Overage, if any,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(iv) the Estimated Indebtedness,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(v) the Working Capital Underage, if any,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(vi) the Estimated Transaction Expenses.</w:t>
      </w:r>
    </w:p>
    <w:p>
      <w:pPr>
        <w:jc w:val="both"/>
        <w:ind w:firstLine="864"/>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Fraud</w:t>
      </w:r>
      <w:r>
        <w:rPr>
          <w:rFonts w:ascii="Times New Roman" w:cs="Times New Roman" w:eastAsia="Times New Roman" w:hAnsi="Times New Roman"/>
          <w:sz w:val="14"/>
          <w:szCs w:val="14"/>
          <w:color w:val="auto"/>
        </w:rPr>
        <w:t xml:space="preserve">” means an actual, intentional common law fraud by a Person in the making of any representation or warranty expressly set forth in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as applicable. For the avoidance of doubt, “Fraud” does not include (x) constructive fraud, statutory fraud, equitable fraud, or omission or promissory fraud or (y) any fraud based on constructive knowledge, negligent misrepresentation or recklessness.</w:t>
      </w:r>
    </w:p>
    <w:p>
      <w:pPr>
        <w:spacing w:after="0" w:line="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means United States generally accepted accounting principles and practices as in effect on the date hereof.</w:t>
      </w:r>
    </w:p>
    <w:p>
      <w:pPr>
        <w:spacing w:after="0" w:line="37"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Authority</w:t>
      </w:r>
      <w:r>
        <w:rPr>
          <w:rFonts w:ascii="Times New Roman" w:cs="Times New Roman" w:eastAsia="Times New Roman" w:hAnsi="Times New Roman"/>
          <w:sz w:val="14"/>
          <w:szCs w:val="14"/>
          <w:color w:val="auto"/>
        </w:rPr>
        <w:t>” means any foreign, domestic, supranational, federal, territorial, state or local governmental entity, quasi-governmental entity, court, tribunal, judicial or arbitral body (public or private), commission, board, bureau, agency or instrumentality, or any regulatory, supervisory, administrative or other department, agency, or any political or other subdivision, department or branch of any of the foregoing (including any grand jury).</w:t>
      </w:r>
    </w:p>
    <w:p>
      <w:pPr>
        <w:spacing w:after="0" w:line="1"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Immediate Family</w:t>
      </w:r>
      <w:r>
        <w:rPr>
          <w:rFonts w:ascii="Times New Roman" w:cs="Times New Roman" w:eastAsia="Times New Roman" w:hAnsi="Times New Roman"/>
          <w:sz w:val="14"/>
          <w:szCs w:val="14"/>
          <w:color w:val="auto"/>
        </w:rPr>
        <w:t>” means, with respect to any specified Person, such Person’s spouse, parents, children and siblings, including adoptive relationships and relationships through marriage, or any other relative of such Person that shares such Person’s home.</w:t>
      </w: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Inbound License Agreement</w:t>
      </w:r>
      <w:r>
        <w:rPr>
          <w:rFonts w:ascii="Times New Roman" w:cs="Times New Roman" w:eastAsia="Times New Roman" w:hAnsi="Times New Roman"/>
          <w:sz w:val="14"/>
          <w:szCs w:val="14"/>
          <w:color w:val="auto"/>
        </w:rPr>
        <w:t>” means any Contract granting to the Company or any of its Subsidiaries any right under or with respect to any Intellectual Property owned by a third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Person.</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Incentive Units</w:t>
      </w:r>
      <w:r>
        <w:rPr>
          <w:rFonts w:ascii="Times New Roman" w:cs="Times New Roman" w:eastAsia="Times New Roman" w:hAnsi="Times New Roman"/>
          <w:sz w:val="14"/>
          <w:szCs w:val="14"/>
          <w:color w:val="auto"/>
        </w:rPr>
        <w:t>” means “Units” as defined in the Management Holdco LLC Agreement.</w:t>
      </w:r>
    </w:p>
    <w:p>
      <w:pPr>
        <w:spacing w:after="0" w:line="28"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Indebtedness</w:t>
      </w:r>
      <w:r>
        <w:rPr>
          <w:rFonts w:ascii="Times New Roman" w:cs="Times New Roman" w:eastAsia="Times New Roman" w:hAnsi="Times New Roman"/>
          <w:sz w:val="14"/>
          <w:szCs w:val="14"/>
          <w:color w:val="auto"/>
        </w:rPr>
        <w:t>” means, without duplication (but before taking into account the consummation of the transactions contemplated hereby), (i) the unpaid principal amount of accrued interest, premiums, penalties and other fees, expenses (if any), and other payment obligations and amounts due (including such amounts that would become due as a result of the consummation of the transactions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300"/>
          </w:cols>
          <w:pgMar w:left="300" w:top="290" w:right="29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8"/>
        <w:spacing w:after="0" w:line="246" w:lineRule="auto"/>
        <w:rPr>
          <w:sz w:val="20"/>
          <w:szCs w:val="20"/>
          <w:color w:val="auto"/>
        </w:rPr>
      </w:pPr>
      <w:r>
        <w:rPr>
          <w:rFonts w:ascii="Times New Roman" w:cs="Times New Roman" w:eastAsia="Times New Roman" w:hAnsi="Times New Roman"/>
          <w:sz w:val="14"/>
          <w:szCs w:val="14"/>
          <w:color w:val="auto"/>
        </w:rPr>
        <w:t xml:space="preserve">contemplated by this Agreement) of the Company and its Subsidiaries, in each case, in respect of (A) all indebtedness for borrowed money, (B) indebtedness evidenced by notes, debentures, bonds or other similar instruments, and (C) all obligations with respect to interest-rate hedging, swaps or similar financial arrangements (valued at the termination value thereof and net of all payments owed to the Company or its Affiliates thereunder); (ii) all obligations of the Company and its Subsidiaries evidenced by any surety bonds, letters of credit or bankers’ acceptances or similar facilities, in each case, to the extent drawn upon; (iii) all obligations under capitalized or finance leases with respect to which the Company or any of its Subsidiaries is liable, determined on a consolidated basis in accordance with GAAP (subject to modification based on the Applicable Accounting Principles) plus $300,000 as agreed to between the Parties as noted on </w:t>
      </w:r>
      <w:r>
        <w:rPr>
          <w:rFonts w:ascii="Times New Roman" w:cs="Times New Roman" w:eastAsia="Times New Roman" w:hAnsi="Times New Roman"/>
          <w:sz w:val="14"/>
          <w:szCs w:val="14"/>
          <w:u w:val="single" w:color="auto"/>
          <w:color w:val="auto"/>
        </w:rPr>
        <w:t>Section 4.17(a)</w:t>
      </w:r>
    </w:p>
    <w:p>
      <w:pPr>
        <w:spacing w:after="0" w:line="1" w:lineRule="exact"/>
        <w:rPr>
          <w:sz w:val="20"/>
          <w:szCs w:val="20"/>
          <w:color w:val="auto"/>
        </w:rPr>
      </w:pPr>
    </w:p>
    <w:p>
      <w:pPr>
        <w:jc w:val="both"/>
        <w:ind w:left="8" w:hanging="8"/>
        <w:spacing w:after="0" w:line="241" w:lineRule="auto"/>
        <w:tabs>
          <w:tab w:leader="none" w:pos="231" w:val="left"/>
        </w:tabs>
        <w:numPr>
          <w:ilvl w:val="0"/>
          <w:numId w:val="4"/>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of the Disclosure Schedules under the caption “Enterprise FM Trust”; (iv) other than amounts set forth on </w:t>
      </w:r>
      <w:r>
        <w:rPr>
          <w:rFonts w:ascii="Times New Roman" w:cs="Times New Roman" w:eastAsia="Times New Roman" w:hAnsi="Times New Roman"/>
          <w:sz w:val="14"/>
          <w:szCs w:val="14"/>
          <w:b w:val="1"/>
          <w:bCs w:val="1"/>
          <w:u w:val="single" w:color="auto"/>
          <w:color w:val="auto"/>
        </w:rPr>
        <w:t>Schedule A</w:t>
      </w:r>
      <w:r>
        <w:rPr>
          <w:rFonts w:ascii="Times New Roman" w:cs="Times New Roman" w:eastAsia="Times New Roman" w:hAnsi="Times New Roman"/>
          <w:sz w:val="14"/>
          <w:szCs w:val="14"/>
          <w:color w:val="auto"/>
        </w:rPr>
        <w:t xml:space="preserve">, any amounts for the deferred purchase price of goods and services, including any earn out liabilities associated with past acquisitions; (v) all liabilities with respect to any unfunded or underfunded defined benefit pension plan or deferred compensation plan or arrangement, any accrued but unpaid Company or Subsidiary contributions to any defined contribution retirement plan, all accrued but unpaid severance or other termination amounts with respect to any employee, officer, service provider or director of the Company or any of its Subsidiaries whose employment or engagement is terminated on or prior to the Closing, and any employment Taxes payable by the Company or any of its Subsidiaries with respect to the foregoing; (vi) unpaid management fees (excluding any payment of Aggregate Closing Consideration to the holders of Class B Units as a result of the consummation of the transactions contemplated by this Agreement); (vii) all deposits and monies received in advance excluding deferred revenue included in the calculation of Net Working Capital; (viii) other than amounts set forth on </w:t>
      </w:r>
      <w:r>
        <w:rPr>
          <w:rFonts w:ascii="Times New Roman" w:cs="Times New Roman" w:eastAsia="Times New Roman" w:hAnsi="Times New Roman"/>
          <w:sz w:val="14"/>
          <w:szCs w:val="14"/>
          <w:b w:val="1"/>
          <w:bCs w:val="1"/>
          <w:u w:val="single" w:color="auto"/>
          <w:color w:val="auto"/>
        </w:rPr>
        <w:t>Schedule A,</w:t>
      </w:r>
      <w:r>
        <w:rPr>
          <w:rFonts w:ascii="Times New Roman" w:cs="Times New Roman" w:eastAsia="Times New Roman" w:hAnsi="Times New Roman"/>
          <w:sz w:val="14"/>
          <w:szCs w:val="14"/>
          <w:color w:val="auto"/>
        </w:rPr>
        <w:t xml:space="preserve"> all indebtedness created or arising under any conditional sale or other title retention agreement with respect to property acquired by the Company or any of its Subsidiaries; (ix) all obligations of the type referred to in clauses (i) through (viii) of other Persons for the payment of which the Company or any of its Subsidiaries is responsible or liable, as obligor, guarantor, surety or otherwise, including any guarantee of such obligations; and (x) all obligations of other Persons secured by an Encumbrance (other than Permitted Encumbrances) on any asset owned by the Company or its Subsidiaries, whether or not such obligations are assumed. For the avoidance of doubt, and notwithstanding anything to the contrary in the foregoing definition, solely for purposes of calculating the Estimated Purchase Price pursuant to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xml:space="preserve">, the Purchase Price pursuant to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2.4</w:t>
      </w:r>
      <w:r>
        <w:rPr>
          <w:rFonts w:ascii="Times New Roman" w:cs="Times New Roman" w:eastAsia="Times New Roman" w:hAnsi="Times New Roman"/>
          <w:sz w:val="14"/>
          <w:szCs w:val="14"/>
          <w:color w:val="auto"/>
        </w:rPr>
        <w:t>, and any components thereof, “Indebtedness” shall not include any amounts to the extent such amounts are included as Transaction Expenses or are included as a current liability in the calculation of Net Working Capital (it being the intent of the Parties to avoid “double counting” in the calculation of the Estimated Purchase Price and Purchase Price (as applicable)).</w:t>
      </w:r>
    </w:p>
    <w:p>
      <w:pPr>
        <w:spacing w:after="0" w:line="15" w:lineRule="exact"/>
        <w:rPr>
          <w:sz w:val="20"/>
          <w:szCs w:val="20"/>
          <w:color w:val="auto"/>
        </w:rPr>
      </w:pPr>
    </w:p>
    <w:p>
      <w:pPr>
        <w:jc w:val="both"/>
        <w:ind w:left="8" w:firstLine="864"/>
        <w:spacing w:after="0" w:line="24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means all intellectual property of every kind and description, whether protected, created or arising under the Laws of the United States or any other jurisdiction, including all: (i) trade names, trademarks, service marks, trade dress and other indicia of source or origin, all registrations and applications (including intent to use applications and similar reservations of marks) to register any of the foregoing, and the goodwill associated with all of the foregoing (collectively, “</w:t>
      </w:r>
      <w:r>
        <w:rPr>
          <w:rFonts w:ascii="Times New Roman" w:cs="Times New Roman" w:eastAsia="Times New Roman" w:hAnsi="Times New Roman"/>
          <w:sz w:val="14"/>
          <w:szCs w:val="14"/>
          <w:u w:val="single" w:color="auto"/>
          <w:color w:val="auto"/>
        </w:rPr>
        <w:t>Marks</w:t>
      </w:r>
      <w:r>
        <w:rPr>
          <w:rFonts w:ascii="Times New Roman" w:cs="Times New Roman" w:eastAsia="Times New Roman" w:hAnsi="Times New Roman"/>
          <w:sz w:val="14"/>
          <w:szCs w:val="14"/>
          <w:color w:val="auto"/>
        </w:rPr>
        <w:t>”); (ii) patents, patent applications and invention disclosures, including amendments, certificates of correction, counterparts, continuations, continuations-in-part, divisionals, extensions, non-provisions, provisionals, reexaminations, reissues, renewals, reviews and substitutions thereof (collectively, “</w:t>
      </w:r>
      <w:r>
        <w:rPr>
          <w:rFonts w:ascii="Times New Roman" w:cs="Times New Roman" w:eastAsia="Times New Roman" w:hAnsi="Times New Roman"/>
          <w:sz w:val="14"/>
          <w:szCs w:val="14"/>
          <w:u w:val="single" w:color="auto"/>
          <w:color w:val="auto"/>
        </w:rPr>
        <w:t>Patents</w:t>
      </w:r>
      <w:r>
        <w:rPr>
          <w:rFonts w:ascii="Times New Roman" w:cs="Times New Roman" w:eastAsia="Times New Roman" w:hAnsi="Times New Roman"/>
          <w:sz w:val="14"/>
          <w:szCs w:val="14"/>
          <w:color w:val="auto"/>
        </w:rPr>
        <w:t>”); (iii) published and unpublished works of authorship, copyrights therein and thereto and all registrations and applications to register any of the foregoing, including all rights in software (collectively, “</w:t>
      </w:r>
      <w:r>
        <w:rPr>
          <w:rFonts w:ascii="Times New Roman" w:cs="Times New Roman" w:eastAsia="Times New Roman" w:hAnsi="Times New Roman"/>
          <w:sz w:val="14"/>
          <w:szCs w:val="14"/>
          <w:u w:val="single" w:color="auto"/>
          <w:color w:val="auto"/>
        </w:rPr>
        <w:t>Copyrights</w:t>
      </w:r>
      <w:r>
        <w:rPr>
          <w:rFonts w:ascii="Times New Roman" w:cs="Times New Roman" w:eastAsia="Times New Roman" w:hAnsi="Times New Roman"/>
          <w:sz w:val="14"/>
          <w:szCs w:val="14"/>
          <w:color w:val="auto"/>
        </w:rPr>
        <w:t>”); (iv) trade secrets, know-how, inventions, methods, processes and processing instructions, technical data, specifications, research and development information, technology, product roadmaps, customer lists and any other confidential or proprietary information, whether tangible or intangible and whether stored, compiled or memorialized physically, electronically, graphically, photographically or in writing (collectively, “</w:t>
      </w:r>
      <w:r>
        <w:rPr>
          <w:rFonts w:ascii="Times New Roman" w:cs="Times New Roman" w:eastAsia="Times New Roman" w:hAnsi="Times New Roman"/>
          <w:sz w:val="14"/>
          <w:szCs w:val="14"/>
          <w:u w:val="single" w:color="auto"/>
          <w:color w:val="auto"/>
        </w:rPr>
        <w:t>Trade Secrets</w:t>
      </w:r>
      <w:r>
        <w:rPr>
          <w:rFonts w:ascii="Times New Roman" w:cs="Times New Roman" w:eastAsia="Times New Roman" w:hAnsi="Times New Roman"/>
          <w:sz w:val="14"/>
          <w:szCs w:val="14"/>
          <w:color w:val="auto"/>
        </w:rPr>
        <w:t>”); (v) internet domain names, whether or not trademarks, registered in any top-level domain by any authorized private registrar or Governmental Authority, web addresses, web pages, websites and related content, accounts with social media companies (e.g., X, Facebook) and the content, handles and identifiers and designations found thereon and related thereto, and URLs</w:t>
      </w:r>
    </w:p>
    <w:p>
      <w:pPr>
        <w:spacing w:after="0" w:line="37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308"/>
          </w:cols>
          <w:pgMar w:left="292" w:top="290" w:right="29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(collectively, “</w:t>
      </w:r>
      <w:r>
        <w:rPr>
          <w:rFonts w:ascii="Times New Roman" w:cs="Times New Roman" w:eastAsia="Times New Roman" w:hAnsi="Times New Roman"/>
          <w:sz w:val="14"/>
          <w:szCs w:val="14"/>
          <w:u w:val="single" w:color="auto"/>
          <w:color w:val="auto"/>
        </w:rPr>
        <w:t>Domain Names and Social Media Accounts</w:t>
      </w:r>
      <w:r>
        <w:rPr>
          <w:rFonts w:ascii="Times New Roman" w:cs="Times New Roman" w:eastAsia="Times New Roman" w:hAnsi="Times New Roman"/>
          <w:sz w:val="14"/>
          <w:szCs w:val="14"/>
          <w:color w:val="auto"/>
        </w:rPr>
        <w:t>”); and (vi) all other intellectual property or proprietary rights, including moral rights, publicity rights, and data base rights of any kind or nature.</w:t>
      </w:r>
    </w:p>
    <w:p>
      <w:pPr>
        <w:jc w:val="both"/>
        <w:ind w:firstLine="864"/>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Knowledge</w:t>
      </w:r>
      <w:r>
        <w:rPr>
          <w:rFonts w:ascii="Times New Roman" w:cs="Times New Roman" w:eastAsia="Times New Roman" w:hAnsi="Times New Roman"/>
          <w:sz w:val="14"/>
          <w:szCs w:val="14"/>
          <w:color w:val="auto"/>
        </w:rPr>
        <w:t>” means, (a) with respect to the Company and its Subsidiaries, (i) the actual knowledge of B.J. Ellis, Jr. and Caleb Rohm, and (ii) any fact or other information which any such Person would be expected to discover or otherwise become aware of through the performance of his or her duties in the ordinary course, and (b) with respect to the Buyer, (i) the actual knowledge of Justin Jacobs and Ian Eckert, and (ii) any fact or other information which any such Person would be expected to discover or otherwise become aware of through the performance of his or her duties in the ordinary course.</w:t>
      </w:r>
    </w:p>
    <w:p>
      <w:pPr>
        <w:spacing w:after="0" w:line="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Law</w:t>
      </w:r>
      <w:r>
        <w:rPr>
          <w:rFonts w:ascii="Times New Roman" w:cs="Times New Roman" w:eastAsia="Times New Roman" w:hAnsi="Times New Roman"/>
          <w:sz w:val="14"/>
          <w:szCs w:val="14"/>
          <w:color w:val="auto"/>
        </w:rPr>
        <w:t>” means any statute, law, ordinance, regulation, rule, code, executive order, injunction, judgment, decree or order of any Governmental Authority.</w:t>
      </w:r>
    </w:p>
    <w:p>
      <w:pPr>
        <w:spacing w:after="0" w:line="37"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Leased Real Property</w:t>
      </w:r>
      <w:r>
        <w:rPr>
          <w:rFonts w:ascii="Times New Roman" w:cs="Times New Roman" w:eastAsia="Times New Roman" w:hAnsi="Times New Roman"/>
          <w:sz w:val="14"/>
          <w:szCs w:val="14"/>
          <w:color w:val="auto"/>
        </w:rPr>
        <w:t>” means all real property leased, subleased or licensed to the Company or any of its Subsidiaries or which the Company or any of its Subsidiaries otherwise has a right or option to use or occupy, together with all structures, facilities, fixtures, systems, improvements and items of property previously or hereafter located thereon, or attached or appurtenant thereto, and all easements, rights and appurtenances relating to the foregoing.</w:t>
      </w:r>
    </w:p>
    <w:p>
      <w:pPr>
        <w:spacing w:after="0" w:line="2"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Management Holdco</w:t>
      </w:r>
      <w:r>
        <w:rPr>
          <w:rFonts w:ascii="Times New Roman" w:cs="Times New Roman" w:eastAsia="Times New Roman" w:hAnsi="Times New Roman"/>
          <w:sz w:val="14"/>
          <w:szCs w:val="14"/>
          <w:color w:val="auto"/>
        </w:rPr>
        <w:t>” means Flatrock Compression Incentive LLC, a Texas limited liability company. “</w:t>
      </w:r>
      <w:r>
        <w:rPr>
          <w:rFonts w:ascii="Times New Roman" w:cs="Times New Roman" w:eastAsia="Times New Roman" w:hAnsi="Times New Roman"/>
          <w:sz w:val="14"/>
          <w:szCs w:val="14"/>
          <w:u w:val="single" w:color="auto"/>
          <w:color w:val="auto"/>
        </w:rPr>
        <w:t>Management Holdco LLC Agreement</w:t>
      </w:r>
      <w:r>
        <w:rPr>
          <w:rFonts w:ascii="Times New Roman" w:cs="Times New Roman" w:eastAsia="Times New Roman" w:hAnsi="Times New Roman"/>
          <w:sz w:val="14"/>
          <w:szCs w:val="14"/>
          <w:color w:val="auto"/>
        </w:rPr>
        <w:t>” means the Limited Liability Company Agreement of Management Holdco, dated as of April 1, 2024, as amended, restated, supplemented or otherwise modified from time to time.</w:t>
      </w:r>
    </w:p>
    <w:p>
      <w:pPr>
        <w:jc w:val="both"/>
        <w:ind w:firstLine="864"/>
        <w:spacing w:after="0" w:line="24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Adverse Effect</w:t>
      </w:r>
      <w:r>
        <w:rPr>
          <w:rFonts w:ascii="Times New Roman" w:cs="Times New Roman" w:eastAsia="Times New Roman" w:hAnsi="Times New Roman"/>
          <w:sz w:val="14"/>
          <w:szCs w:val="14"/>
          <w:color w:val="auto"/>
        </w:rPr>
        <w:t xml:space="preserve">” means any event, change, circumstance, occurrence, effect, result or state of facts that, individually or in the aggregate, (a) is or would reasonably be expected to be materially adverse to the business, assets, liabilities, condition (financial or otherwise) or results of operations of the Company and its Subsidiaries, taken as a whole, or (b) materially impairs the ability of any Seller to consummate, or prevents or materially delays, any of the transactions contemplated by this Agreement or the Ancillary Agreements or would reasonably be expected to do so;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in the case of clause (a) only, Material Adverse Effect shall not include any event, change, circumstance, occurrence, effect or state of facts to the extent resulting from (i) changes or developments generally affecting the industries in which the Company or any of its Subsidiaries operate, or the economy or the financial or securities markets, in the United States, including effects on such industry, economy or markets resulting from any regulatory and political conditions or developments in general, (ii) the outbreak or escalation of hostilities or any acts of war or terrorism, (iii) changes in Law or GAAP; (iv) weather, seismic activity or other meteorological events or natural disasters, (v) crises affecting public health, safety or welfare, including any epidemic, pandemic, or disease outbreak, public health emergencies, including the continuation, escalation or worsening of such conditions, (vi) the failure of the Company or its Subsidiaries to meet, with respect to any period or periods, any internal projections, forecasts, estimates of earnings or revenues, or business plans (except that the underlying causes of any such changes may be considered in determining whether a Material Adverse Effect has occurred), or (vii) matters that arise solely from any actions or omissions of the Buyer or an Affiliate of the Buyer,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that, with respect to the foregoing clauses (i)-(v), the impact of such event, change, circumstances, occurrence, effect or state of facts is not disproportionately adverse to the Company and its Subsidiaries, taken as a whole, in comparison to other similarly situated companies.</w:t>
      </w:r>
    </w:p>
    <w:p>
      <w:pPr>
        <w:spacing w:after="0" w:line="15"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Net Working Capital</w:t>
      </w:r>
      <w:r>
        <w:rPr>
          <w:rFonts w:ascii="Times New Roman" w:cs="Times New Roman" w:eastAsia="Times New Roman" w:hAnsi="Times New Roman"/>
          <w:sz w:val="14"/>
          <w:szCs w:val="14"/>
          <w:color w:val="auto"/>
        </w:rPr>
        <w:t xml:space="preserve">” means, as at a specified date and without duplication, an amount (which may be positive or negative) equal to (i) the consolidated current assets of the Company and its Subsidiaries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(ii) the consolidated current liabilities of the Company and its Subsidiaries (excluding accrued interest and Company liabilities for future facility and vehicle lease obligations (but including any required accounts payable or accrued liabilities for such arrangements)), in each case before taking into account the consummation of the transactions contemplated hereby, and calculated in accordance with the Applicable Accounting Principles;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for the avoidance of doubt, Net Working Capital shall exclude any amounts relating to or included in Cash, Indebtedness and Transaction Expenses to the extent such amounts are reflected in the calculation of the Purchase Price (to avoid any double-counting with any other adjustments) and any current or deferred Tax asset.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300"/>
          </w:cols>
          <w:pgMar w:left="300" w:top="290" w:right="29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Non-PEO Plan</w:t>
      </w:r>
      <w:r>
        <w:rPr>
          <w:rFonts w:ascii="Times New Roman" w:cs="Times New Roman" w:eastAsia="Times New Roman" w:hAnsi="Times New Roman"/>
          <w:sz w:val="14"/>
          <w:szCs w:val="14"/>
          <w:color w:val="auto"/>
        </w:rPr>
        <w:t>” means each Plan other than a PEO Plan.</w:t>
      </w:r>
    </w:p>
    <w:p>
      <w:pPr>
        <w:spacing w:after="0" w:line="37" w:lineRule="exact"/>
        <w:rPr>
          <w:sz w:val="20"/>
          <w:szCs w:val="20"/>
          <w:color w:val="auto"/>
        </w:rPr>
      </w:pPr>
    </w:p>
    <w:p>
      <w:pPr>
        <w:jc w:val="both"/>
        <w:ind w:firstLine="864"/>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Open Source Materials</w:t>
      </w:r>
      <w:r>
        <w:rPr>
          <w:rFonts w:ascii="Times New Roman" w:cs="Times New Roman" w:eastAsia="Times New Roman" w:hAnsi="Times New Roman"/>
          <w:sz w:val="14"/>
          <w:szCs w:val="14"/>
          <w:color w:val="auto"/>
        </w:rPr>
        <w:t>” means any software that is licensed, distributed or conveyed under a Contract that requires as a condition of its use, modification or distribution that it, or other software into which such software is incorporated or with which such software is distributed or that is derived from such software, be disclosed or distributed in source code form, delivered at no charge or be licensed, distributed or conveyed under the same terms as such Contract.</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Outbound License Agreement</w:t>
      </w:r>
      <w:r>
        <w:rPr>
          <w:rFonts w:ascii="Times New Roman" w:cs="Times New Roman" w:eastAsia="Times New Roman" w:hAnsi="Times New Roman"/>
          <w:sz w:val="14"/>
          <w:szCs w:val="14"/>
          <w:color w:val="auto"/>
        </w:rPr>
        <w:t>” means any Contract under which the Company or any of its Subsidiaries grants to a third party any rights under or with respect to Company Owned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IP.</w:t>
      </w:r>
    </w:p>
    <w:p>
      <w:pPr>
        <w:spacing w:after="0" w:line="21"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Owned Real Property</w:t>
      </w:r>
      <w:r>
        <w:rPr>
          <w:rFonts w:ascii="Times New Roman" w:cs="Times New Roman" w:eastAsia="Times New Roman" w:hAnsi="Times New Roman"/>
          <w:sz w:val="14"/>
          <w:szCs w:val="14"/>
          <w:color w:val="auto"/>
        </w:rPr>
        <w:t>” means all real property owned by the Company or any of its Subsidiaries, together with all structures, facilities, fixtures, systems, improvements and items of property previously or hereafter located thereon, or attached or appurtenant thereto, and all easements, rights and appurtenances relating to the foregoing.</w:t>
      </w:r>
    </w:p>
    <w:p>
      <w:pPr>
        <w:spacing w:after="0" w:line="1" w:lineRule="exact"/>
        <w:rPr>
          <w:sz w:val="20"/>
          <w:szCs w:val="20"/>
          <w:color w:val="auto"/>
        </w:rPr>
      </w:pPr>
    </w:p>
    <w:p>
      <w:pPr>
        <w:jc w:val="both"/>
        <w:ind w:firstLine="864"/>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Pandemic Response Law</w:t>
      </w:r>
      <w:r>
        <w:rPr>
          <w:rFonts w:ascii="Times New Roman" w:cs="Times New Roman" w:eastAsia="Times New Roman" w:hAnsi="Times New Roman"/>
          <w:sz w:val="14"/>
          <w:szCs w:val="14"/>
          <w:color w:val="auto"/>
        </w:rPr>
        <w:t>” means the Coronavirus Aid, Relief, and Economic Security Act, Pub. L. 116–136 (116th Cong.) (Mar. 27, 2020), as amended (including by the Paycheck Protection Program Flexibility Act of 2020 (Pub. L. 116-142) (June 5, 2020) and the Consolidated Appropriations Act, 2021 (Pub. L. 116-260) (Dec. 27, 2020)), the Families First Coronavirus Response Act, Pub. L. No. 116-127 (116th Cong.) (Mar. 18, 2020), the American Rescue Plan Act of 2021, Pub. L. 117-2 (117th Cong.) (Mar. 11, 2021), the Executive Order Re: Deferring Payroll Tax Obligations in Light of the Ongoing COVID-19 Disaster (Aug. 8, 2020), and any other similar, future, or additional federal, state, local, or non-U.S. Law or administrative guidance that addresses or is intended to benefit taxpayers in response to the COVID-19 pandemic and associated economic downturn.</w:t>
      </w:r>
    </w:p>
    <w:p>
      <w:pPr>
        <w:spacing w:after="0" w:line="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PEO Plan</w:t>
      </w:r>
      <w:r>
        <w:rPr>
          <w:rFonts w:ascii="Times New Roman" w:cs="Times New Roman" w:eastAsia="Times New Roman" w:hAnsi="Times New Roman"/>
          <w:sz w:val="14"/>
          <w:szCs w:val="14"/>
          <w:color w:val="auto"/>
        </w:rPr>
        <w:t>” means each Plan sponsored by a professional employer organization or co-employer organization.</w:t>
      </w:r>
    </w:p>
    <w:p>
      <w:pPr>
        <w:spacing w:after="0" w:line="37" w:lineRule="exact"/>
        <w:rPr>
          <w:sz w:val="20"/>
          <w:szCs w:val="20"/>
          <w:color w:val="auto"/>
        </w:rPr>
      </w:pPr>
    </w:p>
    <w:p>
      <w:pPr>
        <w:jc w:val="both"/>
        <w:ind w:right="20" w:firstLine="864"/>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 individual, corporation, partnership, limited liability company, limited liability partnership, syndicate, person, trust, association, organization or other entity, including any Governmental Authority, and including any successor, by merger or otherwise, of any of the foregoing.</w:t>
      </w:r>
    </w:p>
    <w:p>
      <w:pPr>
        <w:jc w:val="both"/>
        <w:ind w:firstLine="864"/>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Personal Information</w:t>
      </w:r>
      <w:r>
        <w:rPr>
          <w:rFonts w:ascii="Times New Roman" w:cs="Times New Roman" w:eastAsia="Times New Roman" w:hAnsi="Times New Roman"/>
          <w:sz w:val="14"/>
          <w:szCs w:val="14"/>
          <w:color w:val="auto"/>
        </w:rPr>
        <w:t>” means any information that identifies, relates to, describes, is linked to, is reasonably capable of being associated with or could reasonably be linked to, directly or indirectly, any identified or identifiable individual or household, and any information covered by definitions of “personal data,” “personally identifiable information,” “personal information,” “protected health information,” “nonpublic personal information” or any substantial equivalent of these terms under any Laws.</w:t>
      </w:r>
    </w:p>
    <w:p>
      <w:pPr>
        <w:spacing w:after="0" w:line="2"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means any benefit or compensation plan, program, policy, agreement or other arrangement providing benefits or compensation to any current or former employee, officer, service provider or director of the Company or any of its Subsidiaries or providing substantial services to the Company or any of its Subsidiaries or any beneficiary or dependent thereof that is sponsored or maintained by the Company or any of its Subsidiaries or any of their ERISA Affiliates or to which the Company or any of its Subsidiaries or any of their ERISA Affiliates contributes or is obligated to contribute or has any liability (whether actual or contingent), including any “employee welfare benefit plan” within the meaning of Section 3(1) of ERISA, any “employee pension benefit plan” within the meaning of Section 3(2) of ERISA (whether or not such plan is subject to ERISA) and any bonus, incentive, deferred compensation, vacation, stock or equity purchase, stock or equity option, restricted stock, restricted stock unit, phantom equity, stock appreciation right, profits interest, severance, employment, individual independent contractor, change of control, retention, health, medical, dental, vision, prescription, accident, hospitalization, life, short- or long-term disability or other welfare, savings, retirement, supplemental retirement, retiree medical or life insurance, vacation, holiday pay, paid time off, or fringe benefit plan, program, agreement, arrangement or policy.</w:t>
      </w:r>
    </w:p>
    <w:p>
      <w:pPr>
        <w:spacing w:after="0" w:line="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Pre-Closing Period</w:t>
      </w:r>
      <w:r>
        <w:rPr>
          <w:rFonts w:ascii="Times New Roman" w:cs="Times New Roman" w:eastAsia="Times New Roman" w:hAnsi="Times New Roman"/>
          <w:sz w:val="14"/>
          <w:szCs w:val="14"/>
          <w:color w:val="auto"/>
        </w:rPr>
        <w:t>” means any taxable year or other taxable period that ends on or before the date hereof.</w:t>
      </w:r>
    </w:p>
    <w:p>
      <w:pPr>
        <w:spacing w:after="0" w:line="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Price Per Share</w:t>
      </w:r>
      <w:r>
        <w:rPr>
          <w:rFonts w:ascii="Times New Roman" w:cs="Times New Roman" w:eastAsia="Times New Roman" w:hAnsi="Times New Roman"/>
          <w:sz w:val="14"/>
          <w:szCs w:val="14"/>
          <w:color w:val="auto"/>
        </w:rPr>
        <w:t>” means $41.35.</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300"/>
          </w:cols>
          <w:pgMar w:left="300" w:top="290" w:right="29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8" w:right="20" w:firstLine="864"/>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 Rata Share</w:t>
      </w:r>
      <w:r>
        <w:rPr>
          <w:rFonts w:ascii="Times New Roman" w:cs="Times New Roman" w:eastAsia="Times New Roman" w:hAnsi="Times New Roman"/>
          <w:sz w:val="14"/>
          <w:szCs w:val="14"/>
          <w:color w:val="auto"/>
        </w:rPr>
        <w:t>” with respect to each Seller means the ratio of (a) the portion of the Aggregate Closing Consideration allocated to such Seller as set forth in the Sellers’ Allocation Schedule divided by (b) the Aggregate Closing Consideration, expressed as a percentage, in each case valuing the Aggregate Stock Closing Consideration at the Price Per Share.</w:t>
      </w:r>
    </w:p>
    <w:p>
      <w:pPr>
        <w:jc w:val="both"/>
        <w:ind w:left="8" w:right="20" w:firstLine="864"/>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Process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Processed</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Processing</w:t>
      </w:r>
      <w:r>
        <w:rPr>
          <w:rFonts w:ascii="Times New Roman" w:cs="Times New Roman" w:eastAsia="Times New Roman" w:hAnsi="Times New Roman"/>
          <w:sz w:val="14"/>
          <w:szCs w:val="14"/>
          <w:color w:val="auto"/>
        </w:rPr>
        <w:t>” means any operation or set of operations performed, whether by manual or automated means, on data (including Personal Information) or on sets of data (including Personal Information), including the collection, use, sale, storage, transfer, disclosure, analysis, deletion, or modification thereof.</w:t>
      </w:r>
    </w:p>
    <w:p>
      <w:pPr>
        <w:ind w:left="86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Purchase Price</w:t>
      </w:r>
      <w:r>
        <w:rPr>
          <w:rFonts w:ascii="Times New Roman" w:cs="Times New Roman" w:eastAsia="Times New Roman" w:hAnsi="Times New Roman"/>
          <w:sz w:val="14"/>
          <w:szCs w:val="14"/>
          <w:color w:val="auto"/>
        </w:rPr>
        <w:t xml:space="preserve">” means (i) the Estimated Purchase Price, subject to adjustment in accordance with </w:t>
      </w:r>
      <w:r>
        <w:rPr>
          <w:rFonts w:ascii="Times New Roman" w:cs="Times New Roman" w:eastAsia="Times New Roman" w:hAnsi="Times New Roman"/>
          <w:sz w:val="14"/>
          <w:szCs w:val="14"/>
          <w:u w:val="single" w:color="auto"/>
          <w:color w:val="auto"/>
        </w:rPr>
        <w:t>Section 2.4 plus</w:t>
      </w:r>
      <w:r>
        <w:rPr>
          <w:rFonts w:ascii="Times New Roman" w:cs="Times New Roman" w:eastAsia="Times New Roman" w:hAnsi="Times New Roman"/>
          <w:sz w:val="14"/>
          <w:szCs w:val="14"/>
          <w:color w:val="auto"/>
        </w:rPr>
        <w:t xml:space="preserve"> (ii) any amounts paid to the Sellers out of the Adjustment</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Escrow Fund.</w:t>
      </w:r>
    </w:p>
    <w:p>
      <w:pPr>
        <w:spacing w:after="0" w:line="2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R&amp;W Policy</w:t>
      </w:r>
      <w:r>
        <w:rPr>
          <w:rFonts w:ascii="Times New Roman" w:cs="Times New Roman" w:eastAsia="Times New Roman" w:hAnsi="Times New Roman"/>
          <w:sz w:val="14"/>
          <w:szCs w:val="14"/>
          <w:color w:val="auto"/>
        </w:rPr>
        <w:t>” means that certain conditionally bound representation and warranty insurance policy covering certain representations and warranties set forth in this Agreement.</w:t>
      </w:r>
    </w:p>
    <w:p>
      <w:pPr>
        <w:spacing w:after="0" w:line="37" w:lineRule="exact"/>
        <w:rPr>
          <w:sz w:val="20"/>
          <w:szCs w:val="20"/>
          <w:color w:val="auto"/>
        </w:rPr>
      </w:pPr>
    </w:p>
    <w:p>
      <w:pPr>
        <w:jc w:val="both"/>
        <w:ind w:left="8" w:firstLine="864"/>
        <w:spacing w:after="0" w:line="24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Related Party</w:t>
      </w:r>
      <w:r>
        <w:rPr>
          <w:rFonts w:ascii="Times New Roman" w:cs="Times New Roman" w:eastAsia="Times New Roman" w:hAnsi="Times New Roman"/>
          <w:sz w:val="14"/>
          <w:szCs w:val="14"/>
          <w:color w:val="auto"/>
        </w:rPr>
        <w:t>,” with respect to any specified Person, means: (i) any Affiliate of such specified Person, or any director, manager, executive officer, general partner or managing member of such Affiliate; (ii) any Person who serves or since April 1, 2024 has served as a director, manager, executive officer, partner, member or in a similar capacity of such specified Person;</w:t>
      </w:r>
    </w:p>
    <w:p>
      <w:pPr>
        <w:spacing w:after="0" w:line="1" w:lineRule="exact"/>
        <w:rPr>
          <w:sz w:val="20"/>
          <w:szCs w:val="20"/>
          <w:color w:val="auto"/>
        </w:rPr>
      </w:pPr>
    </w:p>
    <w:p>
      <w:pPr>
        <w:ind w:left="8" w:hanging="8"/>
        <w:spacing w:after="0" w:line="256" w:lineRule="auto"/>
        <w:tabs>
          <w:tab w:leader="none" w:pos="26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Immediate Family member of a Person described in clause (ii); or (iv) any other Person who holds, individually or together with any Affiliate of such other Person and any member(s) of such Person’s Immediate Family, more than 20% of the outstanding equity or ownership interests of such specified Person.</w:t>
      </w:r>
    </w:p>
    <w:p>
      <w:pPr>
        <w:spacing w:after="0" w:line="1" w:lineRule="exact"/>
        <w:rPr>
          <w:sz w:val="20"/>
          <w:szCs w:val="20"/>
          <w:color w:val="auto"/>
        </w:rPr>
      </w:pPr>
    </w:p>
    <w:p>
      <w:pPr>
        <w:jc w:val="both"/>
        <w:ind w:left="8" w:firstLine="864"/>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Representatives</w:t>
      </w:r>
      <w:r>
        <w:rPr>
          <w:rFonts w:ascii="Times New Roman" w:cs="Times New Roman" w:eastAsia="Times New Roman" w:hAnsi="Times New Roman"/>
          <w:sz w:val="14"/>
          <w:szCs w:val="14"/>
          <w:color w:val="auto"/>
        </w:rPr>
        <w:t>” means, with respect to any Person, the officers, managers, directors, principals, employees, individual independent contractors, agents, auditors, advisors, bankers and other representatives of such Person.</w:t>
      </w:r>
    </w:p>
    <w:p>
      <w:pPr>
        <w:jc w:val="both"/>
        <w:ind w:left="8" w:firstLine="864"/>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Cash</w:t>
      </w:r>
      <w:r>
        <w:rPr>
          <w:rFonts w:ascii="Times New Roman" w:cs="Times New Roman" w:eastAsia="Times New Roman" w:hAnsi="Times New Roman"/>
          <w:sz w:val="14"/>
          <w:szCs w:val="14"/>
          <w:color w:val="auto"/>
        </w:rPr>
        <w:t>” means all Cash and Cash equivalents that are not freely useable and available to the Company because they are subject to restrictions, limitations or taxes on use or distribution either by contract, for regulatory or legal purposes, or are Cash and Cash equivalents that are collected from customers in advance, are being held on behalf of customers and represent a liability to such customers. “</w:t>
      </w:r>
      <w:r>
        <w:rPr>
          <w:rFonts w:ascii="Times New Roman" w:cs="Times New Roman" w:eastAsia="Times New Roman" w:hAnsi="Times New Roman"/>
          <w:sz w:val="14"/>
          <w:szCs w:val="14"/>
          <w:u w:val="single" w:color="auto"/>
          <w:color w:val="auto"/>
        </w:rPr>
        <w:t>Restrictive Covenant Agreements</w:t>
      </w:r>
      <w:r>
        <w:rPr>
          <w:rFonts w:ascii="Times New Roman" w:cs="Times New Roman" w:eastAsia="Times New Roman" w:hAnsi="Times New Roman"/>
          <w:sz w:val="14"/>
          <w:szCs w:val="14"/>
          <w:color w:val="auto"/>
        </w:rPr>
        <w:t xml:space="preserve">” means the Restrictive Covenant Agreements, dated as of the date hereof, between the Buyer and each of Steve R. Dutton and Robert T. Herrin III, substantially in the form attached hereto as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w:t>
      </w:r>
    </w:p>
    <w:p>
      <w:pPr>
        <w:spacing w:after="0" w:line="2" w:lineRule="exact"/>
        <w:rPr>
          <w:sz w:val="20"/>
          <w:szCs w:val="20"/>
          <w:color w:val="auto"/>
        </w:rPr>
      </w:pPr>
    </w:p>
    <w:p>
      <w:pPr>
        <w:jc w:val="both"/>
        <w:ind w:left="8" w:firstLine="864"/>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Royalty Agreement</w:t>
      </w:r>
      <w:r>
        <w:rPr>
          <w:rFonts w:ascii="Times New Roman" w:cs="Times New Roman" w:eastAsia="Times New Roman" w:hAnsi="Times New Roman"/>
          <w:sz w:val="14"/>
          <w:szCs w:val="14"/>
          <w:color w:val="auto"/>
        </w:rPr>
        <w:t xml:space="preserve">” means the Royalty Agreement, dated as of the date hereof, among the Company, the Buyer, and the Sellers Representative (with the Sellers Representative receiving payment on behalf of the Sellers and distributing to them), substantially in the form attached hereto as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jc w:val="both"/>
        <w:ind w:left="8" w:firstLine="864"/>
        <w:spacing w:after="0" w:line="24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Sensitive Business Information</w:t>
      </w:r>
      <w:r>
        <w:rPr>
          <w:rFonts w:ascii="Times New Roman" w:cs="Times New Roman" w:eastAsia="Times New Roman" w:hAnsi="Times New Roman"/>
          <w:sz w:val="14"/>
          <w:szCs w:val="14"/>
          <w:color w:val="auto"/>
        </w:rPr>
        <w:t xml:space="preserve">” means all technical, economic, environmental, operational, financial or other business information (including books and records, presentations, communications, documents and other information) or material of one party which, prior to or following the date hereof, has been disclosed by the Buyer or any of its Affiliates (including the Company and its Subsidiaries following the Closing), on the one hand, or by the Company or any of its Subsidiaries, the Sellers or the Sellers Representative or any of its or their respective Affiliates, on the other hand, to the other party in written, oral (including by recording), electronic, or visual form to, or otherwise has come into the possession of, the other party, in each case including pursuant to the provisions of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hereof or any other provision of this Agreement or the Ancillary Agreements, including (a) ideas and concepts for existing products, processes and services, (b) specifications for products, equipment and processes, (c) manufacturing and performance specifications and procedures, (d) engineering drawings and graphs, (e) technical, research and engineering data, (f) formulations and material specifications, (g) laboratory studies and benchmark tests, (h) service and operation manuals, (i) quality assurance policies, procedures and specifications, (j) evaluation or validation studies, (k) pending patent applications and all other know-how, methodologies, procedures, techniques and trade secrets related to research, engineering, development and manufacturing and (l) business information, including marketing and development plans, forecasts, projections, research and development agreements and customer and vendor information;</w:t>
      </w:r>
    </w:p>
    <w:p>
      <w:pPr>
        <w:spacing w:after="0" w:line="200" w:lineRule="exact"/>
        <w:rPr>
          <w:sz w:val="20"/>
          <w:szCs w:val="20"/>
          <w:color w:val="auto"/>
        </w:rPr>
      </w:pPr>
    </w:p>
    <w:p>
      <w:pPr>
        <w:spacing w:after="0" w:line="34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308"/>
          </w:cols>
          <w:pgMar w:left="292" w:top="290" w:right="29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4"/>
          <w:szCs w:val="14"/>
          <w:color w:val="auto"/>
        </w:rPr>
        <w:t>provided that, for the avoidance of doubt, the parties acknowledge and agree that, after the Closing, all nonpublic information regarding the Business, the Company or any of its Subsidiaries shall, following the Closing, be deemed “Sensitive Business Information” of the Buyer and its Affiliates under this Agreement.</w:t>
      </w: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means, with respect to any Person, any other Person controlled by such first Person, directly or indirectly, through one or more intermediaries.</w:t>
      </w:r>
    </w:p>
    <w:p>
      <w:pPr>
        <w:spacing w:after="0" w:line="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Target Net Working Capital</w:t>
      </w:r>
      <w:r>
        <w:rPr>
          <w:rFonts w:ascii="Times New Roman" w:cs="Times New Roman" w:eastAsia="Times New Roman" w:hAnsi="Times New Roman"/>
          <w:sz w:val="14"/>
          <w:szCs w:val="14"/>
          <w:color w:val="auto"/>
        </w:rPr>
        <w:t>” means $7,310,855.</w:t>
      </w:r>
    </w:p>
    <w:p>
      <w:pPr>
        <w:spacing w:after="0" w:line="37"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means (i) any and all non-U.S., United States federal, state or local net income, alternative or add-on minimum tax, gross income, gross receipts, sales, use, ad valorem, personal property (tangible and intangible), real property (including general and special assessments), goods and services, value added, transfer, franchise, profits, license, withholding, payroll, employment, excise, severance, stamp, deed recording fee, occupation, premium, environmental or windfall profit tax, custom, duty or other tax, governmental fee or other like assessment or charge of any kind whatsoever, together with any interest, penalty or addition thereto; (ii) any liability for payment of amounts described in clause (i) whether as a result of transferee liability, of being a member of an affiliated, consolidated, combined or unitary group for any period or otherwise through operation of law; and (iii) any liability for the payment of amounts described in clauses (i) or (ii) as a result of any tax sharing, tax indemnity or tax allocation agreement or any other written agreement to indemnify any other Person.</w:t>
      </w:r>
    </w:p>
    <w:p>
      <w:pPr>
        <w:spacing w:after="0" w:line="9"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 Returns</w:t>
      </w:r>
      <w:r>
        <w:rPr>
          <w:rFonts w:ascii="Times New Roman" w:cs="Times New Roman" w:eastAsia="Times New Roman" w:hAnsi="Times New Roman"/>
          <w:sz w:val="14"/>
          <w:szCs w:val="14"/>
          <w:color w:val="auto"/>
        </w:rPr>
        <w:t>” means any return, report, information return or other document (including any related or supporting information) required to be filed with any Taxing Authority in connection with the determination, assessment, or collection of any Tax paid or payable by the Company or any of its Subsidiaries.</w:t>
      </w:r>
    </w:p>
    <w:p>
      <w:pPr>
        <w:jc w:val="both"/>
        <w:ind w:firstLine="864"/>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Taxing Authority</w:t>
      </w:r>
      <w:r>
        <w:rPr>
          <w:rFonts w:ascii="Times New Roman" w:cs="Times New Roman" w:eastAsia="Times New Roman" w:hAnsi="Times New Roman"/>
          <w:sz w:val="14"/>
          <w:szCs w:val="14"/>
          <w:color w:val="auto"/>
        </w:rPr>
        <w:t>” means, with respect to any Tax, the Governmental Authority that imposes such Tax, and the agency (if any) charged with the collection of such Tax for such Governmental Authority.</w:t>
      </w:r>
    </w:p>
    <w:p>
      <w:pPr>
        <w:jc w:val="both"/>
        <w:ind w:firstLine="864"/>
        <w:spacing w:after="0" w:line="24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 Expenses</w:t>
      </w:r>
      <w:r>
        <w:rPr>
          <w:rFonts w:ascii="Times New Roman" w:cs="Times New Roman" w:eastAsia="Times New Roman" w:hAnsi="Times New Roman"/>
          <w:sz w:val="14"/>
          <w:szCs w:val="14"/>
          <w:color w:val="auto"/>
        </w:rPr>
        <w:t>” means the aggregate amount of any and all fees and expenses incurred by or on behalf of, or paid or to be paid directly by, the Company or any of its Subsidiaries or any Person that the Company or any of its Subsidiaries pays or reimburses or is otherwise legally obligated to pay or reimburse (including any such fees and expenses incurred by or on behalf of any Seller) in connection with the process of selling the Company or the negotiation, preparation or execution of this Agreement or the Ancillary Agreements or the performance or consummation of the transactions contemplated hereby or thereby, including (i) all fees and expenses of counsel, advisors, consultants, investment bankers, accountants, auditors and any other experts in connection with the transactions contemplated hereby; (ii) any fees and expenses associated with obtaining necessary or appropriate waivers, consents, or approvals of any Governmental Authority or third parties on behalf of the Company or any of its Subsidiaries in connection with the transactions contemplated hereby; (iii) any fees or expenses associated with obtaining the release and termination of any Encumbrances in connection with the transactions contemplated hereby (iv) all brokers’, finders’ or similar fees in connection with the transactions contemplated hereby; (v) all costs and expenses related to the Tail Coverage; (vi) any change of control payments, transaction incentive plan payments, bonuses, severance or termination, or retention obligations or similar amounts payable in the future or due by the Company or any of its Subsidiaries in connection with the transactions contemplated hereby (either alone or in combination with any other event), assuming the maximum amount of any such payments or obligations that are payable following the Closing are paid at the Closing, including any employment Taxes payable in connection therewith; and (vii) 50% of all premiums, fees, costs and expenses charged by the insurance company and the broker payable at or prior to the Closing with respect to or otherwise in connection with the binding and issuance of the R&amp;W Policy.</w:t>
      </w:r>
    </w:p>
    <w:p>
      <w:pPr>
        <w:spacing w:after="0" w:line="15"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 Expenses Payoff Instructions</w:t>
      </w:r>
      <w:r>
        <w:rPr>
          <w:rFonts w:ascii="Times New Roman" w:cs="Times New Roman" w:eastAsia="Times New Roman" w:hAnsi="Times New Roman"/>
          <w:sz w:val="14"/>
          <w:szCs w:val="14"/>
          <w:color w:val="auto"/>
        </w:rPr>
        <w:t>” means reasonably satisfactory documentation setting forth an itemized list of all, and amounts of all, Transaction Expenses, including the identity of each payee, dollar amounts owed, wire instructions and any other information necessary to effect the final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300"/>
          </w:cols>
          <w:pgMar w:left="300" w:top="290" w:right="29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payment in full thereof, and copies of final invoices from each such payee acknowledging the invoiced amounts as full and final payment for all services rendered to the Company or any of its Subsidiaries.</w:t>
      </w:r>
    </w:p>
    <w:p>
      <w:pPr>
        <w:jc w:val="both"/>
        <w:ind w:firstLine="864"/>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Transfer Taxes</w:t>
      </w:r>
      <w:r>
        <w:rPr>
          <w:rFonts w:ascii="Times New Roman" w:cs="Times New Roman" w:eastAsia="Times New Roman" w:hAnsi="Times New Roman"/>
          <w:sz w:val="14"/>
          <w:szCs w:val="14"/>
          <w:color w:val="auto"/>
        </w:rPr>
        <w:t>” means all transfer, sales, use, goods and services, value added, documentary, stamp duty, deed recording fee, gross receipts, excise, and conveyance Taxes and other similar Taxes, duties, fees or charges imposed by any Governmental Authority as a result of, or payable or collectible or incurred in connection with, the transaction contemplated by this Agreement.</w:t>
      </w:r>
    </w:p>
    <w:p>
      <w:pPr>
        <w:spacing w:after="0" w:line="161" w:lineRule="exact"/>
        <w:rPr>
          <w:sz w:val="20"/>
          <w:szCs w:val="20"/>
          <w:color w:val="auto"/>
        </w:rPr>
      </w:pPr>
    </w:p>
    <w:p>
      <w:pPr>
        <w:jc w:val="both"/>
        <w:ind w:firstLine="864"/>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WARN Act</w:t>
      </w:r>
      <w:r>
        <w:rPr>
          <w:rFonts w:ascii="Times New Roman" w:cs="Times New Roman" w:eastAsia="Times New Roman" w:hAnsi="Times New Roman"/>
          <w:sz w:val="14"/>
          <w:szCs w:val="14"/>
          <w:color w:val="auto"/>
        </w:rPr>
        <w:t>” means the Worker Adjustment and Retraining Notification Act of 1988 or any similar Law. “</w:t>
      </w:r>
      <w:r>
        <w:rPr>
          <w:rFonts w:ascii="Times New Roman" w:cs="Times New Roman" w:eastAsia="Times New Roman" w:hAnsi="Times New Roman"/>
          <w:sz w:val="14"/>
          <w:szCs w:val="14"/>
          <w:u w:val="single" w:color="auto"/>
          <w:color w:val="auto"/>
        </w:rPr>
        <w:t>Working Capital Overage</w:t>
      </w:r>
      <w:r>
        <w:rPr>
          <w:rFonts w:ascii="Times New Roman" w:cs="Times New Roman" w:eastAsia="Times New Roman" w:hAnsi="Times New Roman"/>
          <w:sz w:val="14"/>
          <w:szCs w:val="14"/>
          <w:color w:val="auto"/>
        </w:rPr>
        <w:t>” shall exist when (and shall be equal to the amount by which) the Estimated Net Working Capital exceeds the Target Net Working Capital.</w:t>
      </w: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Working Capital Underage</w:t>
      </w:r>
      <w:r>
        <w:rPr>
          <w:rFonts w:ascii="Times New Roman" w:cs="Times New Roman" w:eastAsia="Times New Roman" w:hAnsi="Times New Roman"/>
          <w:sz w:val="14"/>
          <w:szCs w:val="14"/>
          <w:color w:val="auto"/>
        </w:rPr>
        <w:t>” shall exist when (and shall be equal to the amount by which) the Target Net Working Capital exceeds the Estimated Net Working Capital.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Table of Definitions.</w:t>
      </w:r>
      <w:r>
        <w:rPr>
          <w:rFonts w:ascii="Times New Roman" w:cs="Times New Roman" w:eastAsia="Times New Roman" w:hAnsi="Times New Roman"/>
          <w:sz w:val="14"/>
          <w:szCs w:val="14"/>
          <w:color w:val="auto"/>
        </w:rPr>
        <w:t xml:space="preserve"> The following terms have the meanings set forth in the Sections referenced below:</w:t>
      </w:r>
    </w:p>
    <w:p>
      <w:pPr>
        <w:spacing w:after="0" w:line="31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1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Definition Location</w:t>
            </w:r>
          </w:p>
        </w:tc>
        <w:tc>
          <w:tcPr>
            <w:tcW w:w="2380" w:type="dxa"/>
            <w:vAlign w:val="bottom"/>
          </w:tcPr>
          <w:p>
            <w:pPr>
              <w:spacing w:after="0"/>
              <w:rPr>
                <w:sz w:val="13"/>
                <w:szCs w:val="13"/>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475"/>
        </w:trPr>
        <w:tc>
          <w:tcPr>
            <w:tcW w:w="194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75"/>
              </w:rPr>
              <w:t>Agreement.......................................................</w:t>
            </w:r>
          </w:p>
        </w:tc>
        <w:tc>
          <w:tcPr>
            <w:tcW w:w="238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rPr>
              <w:t>Preamble</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71"/>
              </w:rPr>
              <w:t>Allocation..................................................................</w:t>
            </w:r>
          </w:p>
        </w:tc>
        <w:tc>
          <w:tcPr>
            <w:tcW w:w="238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rPr>
              <w:t>2.5</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Applicable Accounting Principles</w:t>
            </w:r>
          </w:p>
        </w:tc>
        <w:tc>
          <w:tcPr>
            <w:tcW w:w="238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rPr>
              <w:t>............................. 2.3</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72"/>
              </w:rPr>
              <w:t>Balance Sheet.................................................................</w:t>
            </w:r>
          </w:p>
        </w:tc>
        <w:tc>
          <w:tcPr>
            <w:tcW w:w="23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4.6(a)</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1"/>
                <w:szCs w:val="11"/>
                <w:color w:val="auto"/>
                <w:w w:val="71"/>
              </w:rPr>
              <w:t>Business Trade Secrets.............................................................</w:t>
            </w:r>
          </w:p>
        </w:tc>
        <w:tc>
          <w:tcPr>
            <w:tcW w:w="23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4.14(e)</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75"/>
              </w:rPr>
              <w:t>Buyer...............................................................</w:t>
            </w:r>
          </w:p>
        </w:tc>
        <w:tc>
          <w:tcPr>
            <w:tcW w:w="238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Preamble</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1"/>
                <w:szCs w:val="11"/>
                <w:color w:val="auto"/>
                <w:w w:val="72"/>
              </w:rPr>
              <w:t>Buyer SEC Filings..................................................................</w:t>
            </w:r>
          </w:p>
        </w:tc>
        <w:tc>
          <w:tcPr>
            <w:tcW w:w="23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5.10</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77"/>
              </w:rPr>
              <w:t>CERCLA.......................................................</w:t>
            </w:r>
          </w:p>
        </w:tc>
        <w:tc>
          <w:tcPr>
            <w:tcW w:w="238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rPr>
              <w:t>4.16(f)(iii)</w:t>
            </w:r>
          </w:p>
        </w:tc>
      </w:tr>
      <w:tr>
        <w:trPr>
          <w:trHeight w:val="153"/>
        </w:trPr>
        <w:tc>
          <w:tcPr>
            <w:tcW w:w="194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75"/>
              </w:rPr>
              <w:t>Closing..................................................................</w:t>
            </w:r>
          </w:p>
        </w:tc>
        <w:tc>
          <w:tcPr>
            <w:tcW w:w="2380" w:type="dxa"/>
            <w:vAlign w:val="bottom"/>
          </w:tcPr>
          <w:p>
            <w:pPr>
              <w:jc w:val="right"/>
              <w:ind w:right="1048"/>
              <w:spacing w:after="0" w:line="153" w:lineRule="exact"/>
              <w:rPr>
                <w:sz w:val="20"/>
                <w:szCs w:val="20"/>
                <w:color w:val="auto"/>
              </w:rPr>
            </w:pPr>
            <w:r>
              <w:rPr>
                <w:rFonts w:ascii="Times New Roman" w:cs="Times New Roman" w:eastAsia="Times New Roman" w:hAnsi="Times New Roman"/>
                <w:sz w:val="14"/>
                <w:szCs w:val="14"/>
                <w:color w:val="auto"/>
              </w:rPr>
              <w:t>2.2(a)</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0"/>
                <w:szCs w:val="10"/>
                <w:color w:val="auto"/>
                <w:w w:val="75"/>
              </w:rPr>
              <w:t>Closing Balance Sheet.................................................................</w:t>
            </w:r>
          </w:p>
        </w:tc>
        <w:tc>
          <w:tcPr>
            <w:tcW w:w="2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2.4(a)</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73"/>
              </w:rPr>
              <w:t>Closing Cash..................................................................</w:t>
            </w:r>
          </w:p>
        </w:tc>
        <w:tc>
          <w:tcPr>
            <w:tcW w:w="23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2.4(a)</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72"/>
              </w:rPr>
              <w:t>Closing Date...................................................................</w:t>
            </w:r>
          </w:p>
        </w:tc>
        <w:tc>
          <w:tcPr>
            <w:tcW w:w="23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2.2(a)</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73"/>
              </w:rPr>
              <w:t>Closing Indebtedness.....................................................</w:t>
            </w:r>
          </w:p>
        </w:tc>
        <w:tc>
          <w:tcPr>
            <w:tcW w:w="23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2.4(a)</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9"/>
                <w:szCs w:val="9"/>
                <w:color w:val="auto"/>
                <w:w w:val="77"/>
              </w:rPr>
              <w:t>Closing Net Working Capital...............................................................</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2.4(a)</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0"/>
                <w:szCs w:val="10"/>
                <w:color w:val="auto"/>
                <w:w w:val="71"/>
              </w:rPr>
              <w:t>Closing Transaction Expenses...........................................................</w:t>
            </w:r>
          </w:p>
        </w:tc>
        <w:tc>
          <w:tcPr>
            <w:tcW w:w="2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2.4(a)</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71"/>
              </w:rPr>
              <w:t>Code....................................................................</w:t>
            </w:r>
          </w:p>
        </w:tc>
        <w:tc>
          <w:tcPr>
            <w:tcW w:w="238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rPr>
              <w:t>4.10(a)</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75"/>
              </w:rPr>
              <w:t>Company.........................................................</w:t>
            </w:r>
          </w:p>
        </w:tc>
        <w:tc>
          <w:tcPr>
            <w:tcW w:w="238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Preamble</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0"/>
                <w:szCs w:val="10"/>
                <w:color w:val="auto"/>
                <w:w w:val="73"/>
              </w:rPr>
              <w:t>Company Business IP.....................................................................</w:t>
            </w:r>
          </w:p>
        </w:tc>
        <w:tc>
          <w:tcPr>
            <w:tcW w:w="2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4.14(c)</w:t>
            </w:r>
          </w:p>
        </w:tc>
      </w:tr>
      <w:tr>
        <w:trPr>
          <w:trHeight w:val="153"/>
        </w:trPr>
        <w:tc>
          <w:tcPr>
            <w:tcW w:w="1940" w:type="dxa"/>
            <w:vAlign w:val="bottom"/>
            <w:gridSpan w:val="4"/>
          </w:tcPr>
          <w:p>
            <w:pPr>
              <w:spacing w:after="0"/>
              <w:rPr>
                <w:sz w:val="20"/>
                <w:szCs w:val="20"/>
                <w:color w:val="auto"/>
              </w:rPr>
            </w:pPr>
            <w:r>
              <w:rPr>
                <w:rFonts w:ascii="Times New Roman" w:cs="Times New Roman" w:eastAsia="Times New Roman" w:hAnsi="Times New Roman"/>
                <w:sz w:val="10"/>
                <w:szCs w:val="10"/>
                <w:color w:val="auto"/>
                <w:w w:val="71"/>
              </w:rPr>
              <w:t>Company Registered IP.....................................................................</w:t>
            </w:r>
          </w:p>
        </w:tc>
        <w:tc>
          <w:tcPr>
            <w:tcW w:w="23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4.14(a)</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0"/>
                <w:szCs w:val="10"/>
                <w:color w:val="auto"/>
                <w:w w:val="75"/>
              </w:rPr>
              <w:t>Company Service Provider...........................................................</w:t>
            </w:r>
          </w:p>
        </w:tc>
        <w:tc>
          <w:tcPr>
            <w:tcW w:w="2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4.11(a)</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1"/>
                <w:szCs w:val="11"/>
                <w:color w:val="auto"/>
                <w:w w:val="73"/>
              </w:rPr>
              <w:t>Confidential Information.......................................................</w:t>
            </w:r>
          </w:p>
        </w:tc>
        <w:tc>
          <w:tcPr>
            <w:tcW w:w="238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6.3(a)</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70"/>
              </w:rPr>
              <w:t>Debt Payoff Letter......................................................</w:t>
            </w:r>
          </w:p>
        </w:tc>
        <w:tc>
          <w:tcPr>
            <w:tcW w:w="23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2.2(b)(vi)(J)</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71"/>
              </w:rPr>
              <w:t>Directors....................................................................</w:t>
            </w:r>
          </w:p>
        </w:tc>
        <w:tc>
          <w:tcPr>
            <w:tcW w:w="238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rPr>
              <w:t>6.7</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70"/>
              </w:rPr>
              <w:t>Disclosure Schedules........................................................</w:t>
            </w:r>
          </w:p>
        </w:tc>
        <w:tc>
          <w:tcPr>
            <w:tcW w:w="23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Article III</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1"/>
                <w:szCs w:val="11"/>
                <w:color w:val="auto"/>
                <w:w w:val="73"/>
              </w:rPr>
              <w:t>Environmental Laws.............................................................</w:t>
            </w:r>
          </w:p>
        </w:tc>
        <w:tc>
          <w:tcPr>
            <w:tcW w:w="23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4.16(f)(i)</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1"/>
                <w:szCs w:val="11"/>
                <w:color w:val="auto"/>
                <w:w w:val="75"/>
              </w:rPr>
              <w:t>Environmental Permits........................................................</w:t>
            </w:r>
          </w:p>
        </w:tc>
        <w:tc>
          <w:tcPr>
            <w:tcW w:w="23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4.16(f)(ii)</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71"/>
              </w:rPr>
              <w:t>Equity Interests.........................................................</w:t>
            </w:r>
          </w:p>
        </w:tc>
        <w:tc>
          <w:tcPr>
            <w:tcW w:w="238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Recitals</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71"/>
              </w:rPr>
              <w:t>Estimated Cash..........................................................</w:t>
            </w:r>
          </w:p>
        </w:tc>
        <w:tc>
          <w:tcPr>
            <w:tcW w:w="238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rPr>
              <w:t>2.3</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71"/>
              </w:rPr>
              <w:t>Estimated Indebtedness.............................................</w:t>
            </w:r>
          </w:p>
        </w:tc>
        <w:tc>
          <w:tcPr>
            <w:tcW w:w="238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rPr>
              <w:t>2.3</w:t>
            </w:r>
          </w:p>
        </w:tc>
      </w:tr>
      <w:tr>
        <w:trPr>
          <w:trHeight w:val="153"/>
        </w:trPr>
        <w:tc>
          <w:tcPr>
            <w:tcW w:w="194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71"/>
              </w:rPr>
              <w:t>Estimated Net Working Capital................................</w:t>
            </w:r>
          </w:p>
        </w:tc>
        <w:tc>
          <w:tcPr>
            <w:tcW w:w="2380" w:type="dxa"/>
            <w:vAlign w:val="bottom"/>
          </w:tcPr>
          <w:p>
            <w:pPr>
              <w:jc w:val="right"/>
              <w:ind w:right="1068"/>
              <w:spacing w:after="0" w:line="153" w:lineRule="exact"/>
              <w:rPr>
                <w:sz w:val="20"/>
                <w:szCs w:val="20"/>
                <w:color w:val="auto"/>
              </w:rPr>
            </w:pPr>
            <w:r>
              <w:rPr>
                <w:rFonts w:ascii="Times New Roman" w:cs="Times New Roman" w:eastAsia="Times New Roman" w:hAnsi="Times New Roman"/>
                <w:sz w:val="14"/>
                <w:szCs w:val="14"/>
                <w:color w:val="auto"/>
              </w:rPr>
              <w:t>2.3</w:t>
            </w:r>
          </w:p>
        </w:tc>
      </w:tr>
      <w:tr>
        <w:trPr>
          <w:trHeight w:val="162"/>
        </w:trPr>
        <w:tc>
          <w:tcPr>
            <w:tcW w:w="194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71"/>
              </w:rPr>
              <w:t>Estimated Transaction Expenses...............................</w:t>
            </w:r>
          </w:p>
        </w:tc>
        <w:tc>
          <w:tcPr>
            <w:tcW w:w="238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rPr>
              <w:t>2.3</w:t>
            </w:r>
          </w:p>
        </w:tc>
      </w:tr>
      <w:tr>
        <w:trPr>
          <w:trHeight w:val="188"/>
        </w:trPr>
        <w:tc>
          <w:tcPr>
            <w:tcW w:w="194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71"/>
              </w:rPr>
              <w:t>Exchange Act............................................................</w:t>
            </w:r>
          </w:p>
        </w:tc>
        <w:tc>
          <w:tcPr>
            <w:tcW w:w="238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5.6</w:t>
            </w:r>
          </w:p>
        </w:tc>
      </w:tr>
    </w:tbl>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300"/>
          </w:cols>
          <w:pgMar w:left="300" w:top="290" w:right="29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74"/>
              </w:rPr>
              <w:t>Final Closing Statement..........................................................</w:t>
            </w:r>
          </w:p>
        </w:tc>
        <w:tc>
          <w:tcPr>
            <w:tcW w:w="212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2.4(a)</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79"/>
              </w:rPr>
              <w:t>Financial Statements.........................................................</w:t>
            </w:r>
          </w:p>
        </w:tc>
        <w:tc>
          <w:tcPr>
            <w:tcW w:w="212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rPr>
              <w:t>4.6(a)</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72"/>
              </w:rPr>
              <w:t>Fractional Share Cash Amount..................................................</w:t>
            </w:r>
          </w:p>
        </w:tc>
        <w:tc>
          <w:tcPr>
            <w:tcW w:w="21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2.2(b)(vi)(K)</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84"/>
              </w:rPr>
              <w:t>Hazardous Substances.................................................</w:t>
            </w:r>
          </w:p>
        </w:tc>
        <w:tc>
          <w:tcPr>
            <w:tcW w:w="212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4.16(f)(iii)</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w w:val="72"/>
              </w:rPr>
              <w:t>Independent Accounting Firm...................................................................</w:t>
            </w:r>
          </w:p>
        </w:tc>
        <w:tc>
          <w:tcPr>
            <w:tcW w:w="2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2.4(c)</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87"/>
              </w:rPr>
              <w:t>Intended Tax Treatment............................................</w:t>
            </w:r>
          </w:p>
        </w:tc>
        <w:tc>
          <w:tcPr>
            <w:tcW w:w="2120" w:type="dxa"/>
            <w:vAlign w:val="bottom"/>
          </w:tcPr>
          <w:p>
            <w:pPr>
              <w:jc w:val="right"/>
              <w:ind w:right="1408"/>
              <w:spacing w:after="0"/>
              <w:rPr>
                <w:sz w:val="20"/>
                <w:szCs w:val="20"/>
                <w:color w:val="auto"/>
              </w:rPr>
            </w:pPr>
            <w:r>
              <w:rPr>
                <w:rFonts w:ascii="Times New Roman" w:cs="Times New Roman" w:eastAsia="Times New Roman" w:hAnsi="Times New Roman"/>
                <w:sz w:val="14"/>
                <w:szCs w:val="14"/>
                <w:color w:val="auto"/>
              </w:rPr>
              <w:t>7.5</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w w:val="75"/>
              </w:rPr>
              <w:t>Interim Financial Statements.........................................................</w:t>
            </w:r>
          </w:p>
        </w:tc>
        <w:tc>
          <w:tcPr>
            <w:tcW w:w="212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4.6(a)</w:t>
            </w:r>
          </w:p>
        </w:tc>
      </w:tr>
      <w:tr>
        <w:trPr>
          <w:trHeight w:val="153"/>
        </w:trPr>
        <w:tc>
          <w:tcPr>
            <w:tcW w:w="25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w w:val="94"/>
              </w:rPr>
              <w:t>IRS......................................................................</w:t>
            </w:r>
          </w:p>
        </w:tc>
        <w:tc>
          <w:tcPr>
            <w:tcW w:w="2120" w:type="dxa"/>
            <w:vAlign w:val="bottom"/>
          </w:tcPr>
          <w:p>
            <w:pPr>
              <w:jc w:val="right"/>
              <w:ind w:right="1408"/>
              <w:spacing w:after="0" w:line="153" w:lineRule="exact"/>
              <w:rPr>
                <w:sz w:val="20"/>
                <w:szCs w:val="20"/>
                <w:color w:val="auto"/>
              </w:rPr>
            </w:pPr>
            <w:r>
              <w:rPr>
                <w:rFonts w:ascii="Times New Roman" w:cs="Times New Roman" w:eastAsia="Times New Roman" w:hAnsi="Times New Roman"/>
                <w:sz w:val="14"/>
                <w:szCs w:val="14"/>
                <w:color w:val="auto"/>
              </w:rPr>
              <w:t>4.10(a)</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93"/>
              </w:rPr>
              <w:t>IT Systems...........................................................</w:t>
            </w:r>
          </w:p>
        </w:tc>
        <w:tc>
          <w:tcPr>
            <w:tcW w:w="2120" w:type="dxa"/>
            <w:vAlign w:val="bottom"/>
          </w:tcPr>
          <w:p>
            <w:pPr>
              <w:jc w:val="right"/>
              <w:ind w:right="1368"/>
              <w:spacing w:after="0"/>
              <w:rPr>
                <w:sz w:val="20"/>
                <w:szCs w:val="20"/>
                <w:color w:val="auto"/>
              </w:rPr>
            </w:pPr>
            <w:r>
              <w:rPr>
                <w:rFonts w:ascii="Times New Roman" w:cs="Times New Roman" w:eastAsia="Times New Roman" w:hAnsi="Times New Roman"/>
                <w:sz w:val="14"/>
                <w:szCs w:val="14"/>
                <w:color w:val="auto"/>
              </w:rPr>
              <w:t>4.14(k)</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79"/>
              </w:rPr>
              <w:t>Material Contracts.............................................................</w:t>
            </w:r>
          </w:p>
        </w:tc>
        <w:tc>
          <w:tcPr>
            <w:tcW w:w="212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rPr>
              <w:t>4.17</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83"/>
              </w:rPr>
              <w:t>Material Customers.......................................................</w:t>
            </w:r>
          </w:p>
        </w:tc>
        <w:tc>
          <w:tcPr>
            <w:tcW w:w="212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rPr>
              <w:t>4.21(a)</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74"/>
              </w:rPr>
              <w:t>Multiemployer Plan.................................................................</w:t>
            </w:r>
          </w:p>
        </w:tc>
        <w:tc>
          <w:tcPr>
            <w:tcW w:w="21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4.10(b)</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w w:val="74"/>
              </w:rPr>
              <w:t>Multiple Employer Plan.................................................................</w:t>
            </w:r>
          </w:p>
        </w:tc>
        <w:tc>
          <w:tcPr>
            <w:tcW w:w="212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4.10(b)</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73"/>
              </w:rPr>
              <w:t>Net Adjustment Amount..........................................................</w:t>
            </w:r>
          </w:p>
        </w:tc>
        <w:tc>
          <w:tcPr>
            <w:tcW w:w="212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2.4(f)(i)</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79"/>
              </w:rPr>
              <w:t>Notice of Disagreement....................................................</w:t>
            </w:r>
          </w:p>
        </w:tc>
        <w:tc>
          <w:tcPr>
            <w:tcW w:w="212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rPr>
              <w:t>2.4(b)</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86"/>
              </w:rPr>
              <w:t>NYSE.........................................................................</w:t>
            </w:r>
          </w:p>
        </w:tc>
        <w:tc>
          <w:tcPr>
            <w:tcW w:w="2120" w:type="dxa"/>
            <w:vAlign w:val="bottom"/>
          </w:tcPr>
          <w:p>
            <w:pPr>
              <w:jc w:val="right"/>
              <w:ind w:right="1368"/>
              <w:spacing w:after="0"/>
              <w:rPr>
                <w:sz w:val="20"/>
                <w:szCs w:val="20"/>
                <w:color w:val="auto"/>
              </w:rPr>
            </w:pPr>
            <w:r>
              <w:rPr>
                <w:rFonts w:ascii="Times New Roman" w:cs="Times New Roman" w:eastAsia="Times New Roman" w:hAnsi="Times New Roman"/>
                <w:sz w:val="14"/>
                <w:szCs w:val="14"/>
                <w:color w:val="auto"/>
              </w:rPr>
              <w:t>5.6</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90"/>
              </w:rPr>
              <w:t>Payoff Indebtedness...............................................</w:t>
            </w:r>
          </w:p>
        </w:tc>
        <w:tc>
          <w:tcPr>
            <w:tcW w:w="2120" w:type="dxa"/>
            <w:vAlign w:val="bottom"/>
          </w:tcPr>
          <w:p>
            <w:pPr>
              <w:jc w:val="right"/>
              <w:ind w:right="1128"/>
              <w:spacing w:after="0"/>
              <w:rPr>
                <w:sz w:val="20"/>
                <w:szCs w:val="20"/>
                <w:color w:val="auto"/>
              </w:rPr>
            </w:pPr>
            <w:r>
              <w:rPr>
                <w:rFonts w:ascii="Times New Roman" w:cs="Times New Roman" w:eastAsia="Times New Roman" w:hAnsi="Times New Roman"/>
                <w:sz w:val="14"/>
                <w:szCs w:val="14"/>
                <w:color w:val="auto"/>
              </w:rPr>
              <w:t>2.2(b)(iii)</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92"/>
              </w:rPr>
              <w:t>Permits..................................................................</w:t>
            </w:r>
          </w:p>
        </w:tc>
        <w:tc>
          <w:tcPr>
            <w:tcW w:w="2120" w:type="dxa"/>
            <w:vAlign w:val="bottom"/>
          </w:tcPr>
          <w:p>
            <w:pPr>
              <w:jc w:val="right"/>
              <w:ind w:right="1408"/>
              <w:spacing w:after="0"/>
              <w:rPr>
                <w:sz w:val="20"/>
                <w:szCs w:val="20"/>
                <w:color w:val="auto"/>
              </w:rPr>
            </w:pPr>
            <w:r>
              <w:rPr>
                <w:rFonts w:ascii="Times New Roman" w:cs="Times New Roman" w:eastAsia="Times New Roman" w:hAnsi="Times New Roman"/>
                <w:sz w:val="14"/>
                <w:szCs w:val="14"/>
                <w:color w:val="auto"/>
              </w:rPr>
              <w:t>4.8(a)</w:t>
            </w:r>
          </w:p>
        </w:tc>
      </w:tr>
      <w:tr>
        <w:trPr>
          <w:trHeight w:val="153"/>
        </w:trPr>
        <w:tc>
          <w:tcPr>
            <w:tcW w:w="25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w w:val="80"/>
              </w:rPr>
              <w:t>Permitted Encumbrances.................................................</w:t>
            </w:r>
          </w:p>
        </w:tc>
        <w:tc>
          <w:tcPr>
            <w:tcW w:w="2120" w:type="dxa"/>
            <w:vAlign w:val="bottom"/>
          </w:tcPr>
          <w:p>
            <w:pPr>
              <w:jc w:val="right"/>
              <w:ind w:right="928"/>
              <w:spacing w:after="0" w:line="153" w:lineRule="exact"/>
              <w:rPr>
                <w:sz w:val="20"/>
                <w:szCs w:val="20"/>
                <w:color w:val="auto"/>
              </w:rPr>
            </w:pPr>
            <w:r>
              <w:rPr>
                <w:rFonts w:ascii="Times New Roman" w:cs="Times New Roman" w:eastAsia="Times New Roman" w:hAnsi="Times New Roman"/>
                <w:sz w:val="14"/>
                <w:szCs w:val="14"/>
                <w:color w:val="auto"/>
              </w:rPr>
              <w:t>4.12(a)</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w w:val="70"/>
              </w:rPr>
              <w:t>Pre-Closing Flow-Through Returns..............................................................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7.1(a)</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86"/>
              </w:rPr>
              <w:t>Preliminary Closing Balance Sheet...........................</w:t>
            </w:r>
          </w:p>
        </w:tc>
        <w:tc>
          <w:tcPr>
            <w:tcW w:w="21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rPr>
              <w:t>2.3</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86"/>
              </w:rPr>
              <w:t>Purchase Price Allocation Schedule..........................</w:t>
            </w:r>
          </w:p>
        </w:tc>
        <w:tc>
          <w:tcPr>
            <w:tcW w:w="21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rPr>
              <w:t>2.5</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74"/>
              </w:rPr>
              <w:t>Real Property Leases..............................................................</w:t>
            </w:r>
          </w:p>
        </w:tc>
        <w:tc>
          <w:tcPr>
            <w:tcW w:w="212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4.13(a)</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Release...........................................................</w:t>
            </w:r>
          </w:p>
        </w:tc>
        <w:tc>
          <w:tcPr>
            <w:tcW w:w="21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rPr>
              <w:t>4.16(f)(iv)</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99"/>
              </w:rPr>
              <w:t>Remediation....................................................</w:t>
            </w:r>
          </w:p>
        </w:tc>
        <w:tc>
          <w:tcPr>
            <w:tcW w:w="21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rPr>
              <w:t>4.16(f)(v)</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88"/>
              </w:rPr>
              <w:t>SEC..........................................................................</w:t>
            </w:r>
          </w:p>
        </w:tc>
        <w:tc>
          <w:tcPr>
            <w:tcW w:w="2120" w:type="dxa"/>
            <w:vAlign w:val="bottom"/>
          </w:tcPr>
          <w:p>
            <w:pPr>
              <w:jc w:val="right"/>
              <w:ind w:right="1368"/>
              <w:spacing w:after="0"/>
              <w:rPr>
                <w:sz w:val="20"/>
                <w:szCs w:val="20"/>
                <w:color w:val="auto"/>
              </w:rPr>
            </w:pPr>
            <w:r>
              <w:rPr>
                <w:rFonts w:ascii="Times New Roman" w:cs="Times New Roman" w:eastAsia="Times New Roman" w:hAnsi="Times New Roman"/>
                <w:sz w:val="14"/>
                <w:szCs w:val="14"/>
                <w:color w:val="auto"/>
              </w:rPr>
              <w:t>5.10</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87"/>
              </w:rPr>
              <w:t>Securities Act............................................................</w:t>
            </w:r>
          </w:p>
        </w:tc>
        <w:tc>
          <w:tcPr>
            <w:tcW w:w="2120" w:type="dxa"/>
            <w:vAlign w:val="bottom"/>
          </w:tcPr>
          <w:p>
            <w:pPr>
              <w:jc w:val="right"/>
              <w:ind w:right="1408"/>
              <w:spacing w:after="0"/>
              <w:rPr>
                <w:sz w:val="20"/>
                <w:szCs w:val="20"/>
                <w:color w:val="auto"/>
              </w:rPr>
            </w:pPr>
            <w:r>
              <w:rPr>
                <w:rFonts w:ascii="Times New Roman" w:cs="Times New Roman" w:eastAsia="Times New Roman" w:hAnsi="Times New Roman"/>
                <w:sz w:val="14"/>
                <w:szCs w:val="14"/>
                <w:color w:val="auto"/>
              </w:rPr>
              <w:t>3.5</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83"/>
              </w:rPr>
              <w:t>Security Incident...........................................................</w:t>
            </w:r>
          </w:p>
        </w:tc>
        <w:tc>
          <w:tcPr>
            <w:tcW w:w="212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rPr>
              <w:t>4.20(c)</w:t>
            </w:r>
          </w:p>
        </w:tc>
      </w:tr>
      <w:tr>
        <w:trPr>
          <w:trHeight w:val="153"/>
        </w:trPr>
        <w:tc>
          <w:tcPr>
            <w:tcW w:w="25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w w:val="99"/>
              </w:rPr>
              <w:t>Seller...............................................................</w:t>
            </w:r>
          </w:p>
        </w:tc>
        <w:tc>
          <w:tcPr>
            <w:tcW w:w="2120" w:type="dxa"/>
            <w:vAlign w:val="bottom"/>
          </w:tcPr>
          <w:p>
            <w:pPr>
              <w:jc w:val="right"/>
              <w:ind w:right="1408"/>
              <w:spacing w:after="0" w:line="153" w:lineRule="exact"/>
              <w:rPr>
                <w:sz w:val="20"/>
                <w:szCs w:val="20"/>
                <w:color w:val="auto"/>
              </w:rPr>
            </w:pPr>
            <w:r>
              <w:rPr>
                <w:rFonts w:ascii="Times New Roman" w:cs="Times New Roman" w:eastAsia="Times New Roman" w:hAnsi="Times New Roman"/>
                <w:sz w:val="14"/>
                <w:szCs w:val="14"/>
                <w:color w:val="auto"/>
              </w:rPr>
              <w:t>Preamble</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86"/>
              </w:rPr>
              <w:t>Seller Releasees.........................................................</w:t>
            </w:r>
          </w:p>
        </w:tc>
        <w:tc>
          <w:tcPr>
            <w:tcW w:w="21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rPr>
              <w:t>6.1</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86"/>
              </w:rPr>
              <w:t>Seller Releasors.........................................................</w:t>
            </w:r>
          </w:p>
        </w:tc>
        <w:tc>
          <w:tcPr>
            <w:tcW w:w="21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rPr>
              <w:t>6.1</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98"/>
              </w:rPr>
              <w:t>Sellers..............................................................</w:t>
            </w:r>
          </w:p>
        </w:tc>
        <w:tc>
          <w:tcPr>
            <w:tcW w:w="21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rPr>
              <w:t>Preamble</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90"/>
              </w:rPr>
              <w:t>Sellers Representative............................................</w:t>
            </w:r>
          </w:p>
        </w:tc>
        <w:tc>
          <w:tcPr>
            <w:tcW w:w="2120" w:type="dxa"/>
            <w:vAlign w:val="bottom"/>
          </w:tcPr>
          <w:p>
            <w:pPr>
              <w:jc w:val="right"/>
              <w:ind w:right="1148"/>
              <w:spacing w:after="0"/>
              <w:rPr>
                <w:sz w:val="20"/>
                <w:szCs w:val="20"/>
                <w:color w:val="auto"/>
              </w:rPr>
            </w:pPr>
            <w:r>
              <w:rPr>
                <w:rFonts w:ascii="Times New Roman" w:cs="Times New Roman" w:eastAsia="Times New Roman" w:hAnsi="Times New Roman"/>
                <w:sz w:val="14"/>
                <w:szCs w:val="14"/>
                <w:color w:val="auto"/>
              </w:rPr>
              <w:t>Preamble</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76"/>
              </w:rPr>
              <w:t>Sellers’ Allocation Schedule................................................</w:t>
            </w:r>
          </w:p>
        </w:tc>
        <w:tc>
          <w:tcPr>
            <w:tcW w:w="21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2.2(b)(vi)(A)</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94"/>
              </w:rPr>
              <w:t>Suit......................................................................</w:t>
            </w:r>
          </w:p>
        </w:tc>
        <w:tc>
          <w:tcPr>
            <w:tcW w:w="21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rPr>
              <w:t>4.14(b)</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Tail Coverage...............................................</w:t>
            </w:r>
          </w:p>
        </w:tc>
        <w:tc>
          <w:tcPr>
            <w:tcW w:w="2120" w:type="dxa"/>
            <w:vAlign w:val="bottom"/>
          </w:tcPr>
          <w:p>
            <w:pPr>
              <w:jc w:val="right"/>
              <w:ind w:right="1308"/>
              <w:spacing w:after="0"/>
              <w:rPr>
                <w:sz w:val="20"/>
                <w:szCs w:val="20"/>
                <w:color w:val="auto"/>
              </w:rPr>
            </w:pPr>
            <w:r>
              <w:rPr>
                <w:rFonts w:ascii="Times New Roman" w:cs="Times New Roman" w:eastAsia="Times New Roman" w:hAnsi="Times New Roman"/>
                <w:sz w:val="14"/>
                <w:szCs w:val="14"/>
                <w:color w:val="auto"/>
                <w:w w:val="97"/>
              </w:rPr>
              <w:t>2.2(b)(vi)(O)</w:t>
            </w:r>
          </w:p>
        </w:tc>
      </w:tr>
      <w:tr>
        <w:trPr>
          <w:trHeight w:val="162"/>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86"/>
              </w:rPr>
              <w:t>Tax Allocation Purchase Price..................................</w:t>
            </w:r>
          </w:p>
        </w:tc>
        <w:tc>
          <w:tcPr>
            <w:tcW w:w="2120" w:type="dxa"/>
            <w:vAlign w:val="bottom"/>
          </w:tcPr>
          <w:p>
            <w:pPr>
              <w:jc w:val="right"/>
              <w:ind w:right="1408"/>
              <w:spacing w:after="0"/>
              <w:rPr>
                <w:sz w:val="20"/>
                <w:szCs w:val="20"/>
                <w:color w:val="auto"/>
              </w:rPr>
            </w:pPr>
            <w:r>
              <w:rPr>
                <w:rFonts w:ascii="Times New Roman" w:cs="Times New Roman" w:eastAsia="Times New Roman" w:hAnsi="Times New Roman"/>
                <w:sz w:val="14"/>
                <w:szCs w:val="14"/>
                <w:color w:val="auto"/>
              </w:rPr>
              <w:t>2.5</w:t>
            </w:r>
          </w:p>
        </w:tc>
      </w:tr>
      <w:tr>
        <w:trPr>
          <w:trHeight w:val="188"/>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w w:val="86"/>
              </w:rPr>
              <w:t>Tax Proceeding..........................................................</w:t>
            </w:r>
          </w:p>
        </w:tc>
        <w:tc>
          <w:tcPr>
            <w:tcW w:w="21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rPr>
              <w:t>7.2</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PURCHASE AND SALE</w:t>
      </w:r>
    </w:p>
    <w:p>
      <w:pPr>
        <w:spacing w:after="0" w:line="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4"/>
          <w:szCs w:val="14"/>
          <w:color w:val="auto"/>
        </w:rPr>
        <w:t>Section 2.1 Purchase and Sale of the Equity Interests.Upon the terms and subject to the conditions of this Agreement, at the Closing, the Sellers shall sell, assign, transfer, convey and deliver the Equity Interests to the Buyer, free and clear of all Encumbrances (other than Encumbrances arising under securities Laws, created by the Buyer or arising pursuant to the organizational documents of the Company), and the Buyer, in reliance on the representations, warranties and covenants of the Sellers and the Company contained herein, shall purchase the Equity Interests from the Sellers in exchange for the payment of the Purchase Price as provided in this Article II.</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300"/>
          </w:cols>
          <w:pgMar w:left="300" w:top="290" w:right="299" w:bottom="1440" w:gutter="0" w:footer="0" w:header="0"/>
        </w:sectPr>
      </w:pPr>
    </w:p>
    <w:bookmarkStart w:id="19" w:name="page20"/>
    <w:bookmarkEnd w:id="19"/>
    <w:p>
      <w:pPr>
        <w:ind w:left="10620"/>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2.2</w:t>
        <w:tab/>
        <w:t>Closing</w:t>
      </w:r>
    </w:p>
    <w:p>
      <w:pPr>
        <w:spacing w:after="0" w:line="163" w:lineRule="exact"/>
        <w:rPr>
          <w:sz w:val="20"/>
          <w:szCs w:val="20"/>
          <w:color w:val="auto"/>
        </w:rPr>
      </w:pPr>
    </w:p>
    <w:p>
      <w:pPr>
        <w:ind w:firstLine="856"/>
        <w:spacing w:after="0" w:line="268" w:lineRule="auto"/>
        <w:tabs>
          <w:tab w:leader="none" w:pos="126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closing of the sale and purchase of the Equity Interests (the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shall take place remotely via the exchange of documents and signatures and shall occur simultaneously with the execution and delivery of this Agreement. The date hereof is referred to herein as the “</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w:t>
      </w:r>
    </w:p>
    <w:p>
      <w:pPr>
        <w:ind w:left="1160" w:hanging="304"/>
        <w:spacing w:after="0"/>
        <w:tabs>
          <w:tab w:leader="none" w:pos="11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Closing:</w:t>
      </w:r>
    </w:p>
    <w:p>
      <w:pPr>
        <w:spacing w:after="0" w:line="37" w:lineRule="exact"/>
        <w:rPr>
          <w:rFonts w:ascii="Times New Roman" w:cs="Times New Roman" w:eastAsia="Times New Roman" w:hAnsi="Times New Roman"/>
          <w:sz w:val="14"/>
          <w:szCs w:val="14"/>
          <w:color w:val="auto"/>
        </w:rPr>
      </w:pPr>
    </w:p>
    <w:p>
      <w:pPr>
        <w:ind w:left="1460" w:hanging="172"/>
        <w:spacing w:after="0"/>
        <w:tabs>
          <w:tab w:leader="none" w:pos="14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Buyer shall issue or pay, as applicable, or cause to be issued or paid, as applicable, to:</w:t>
      </w:r>
    </w:p>
    <w:p>
      <w:pPr>
        <w:spacing w:after="0" w:line="37" w:lineRule="exact"/>
        <w:rPr>
          <w:rFonts w:ascii="Times New Roman" w:cs="Times New Roman" w:eastAsia="Times New Roman" w:hAnsi="Times New Roman"/>
          <w:sz w:val="14"/>
          <w:szCs w:val="14"/>
          <w:color w:val="auto"/>
        </w:rPr>
      </w:pPr>
    </w:p>
    <w:p>
      <w:pPr>
        <w:ind w:left="1720"/>
        <w:spacing w:after="0" w:line="268" w:lineRule="auto"/>
        <w:tabs>
          <w:tab w:leader="none" w:pos="2117" w:val="left"/>
        </w:tabs>
        <w:numPr>
          <w:ilvl w:val="2"/>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Seller its Pro Rata Share of the Aggregate Stock Closing Consideration, free and clear of all Encumbrances (other than Encumbrances created by the applicable Seller or arising under applicable securities Laws); and</w:t>
      </w:r>
    </w:p>
    <w:p>
      <w:pPr>
        <w:ind w:left="2060" w:hanging="340"/>
        <w:spacing w:after="0"/>
        <w:tabs>
          <w:tab w:leader="none" w:pos="2060" w:val="left"/>
        </w:tabs>
        <w:numPr>
          <w:ilvl w:val="2"/>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Sellers Representative, on behalf of and for delivery by the Sellers Representative to each applicable Seller, the Aggregate Cash Closing Consideration;</w:t>
      </w:r>
    </w:p>
    <w:p>
      <w:pPr>
        <w:spacing w:after="0" w:line="28" w:lineRule="exact"/>
        <w:rPr>
          <w:rFonts w:ascii="Times New Roman" w:cs="Times New Roman" w:eastAsia="Times New Roman" w:hAnsi="Times New Roman"/>
          <w:sz w:val="14"/>
          <w:szCs w:val="14"/>
          <w:color w:val="auto"/>
        </w:rPr>
      </w:pPr>
    </w:p>
    <w:p>
      <w:pPr>
        <w:ind w:left="1280" w:firstLine="8"/>
        <w:spacing w:after="0" w:line="268" w:lineRule="auto"/>
        <w:tabs>
          <w:tab w:leader="none" w:pos="1499"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Buyer shall deposit or cause to be deposited the Adjustment Escrow Amount with the Escrow Agent, to be managed and paid out by the Escrow Agent pursuant to the terms of the Escrow Agreement;</w:t>
      </w:r>
    </w:p>
    <w:p>
      <w:pPr>
        <w:ind w:left="1540" w:hanging="252"/>
        <w:spacing w:after="0"/>
        <w:tabs>
          <w:tab w:leader="none" w:pos="15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Buyer shall deliver or cause to be delivered on behalf of the Company the amount payable to each counterparty or holder of Indebtedness identified on </w:t>
      </w:r>
      <w:r>
        <w:rPr>
          <w:rFonts w:ascii="Times New Roman" w:cs="Times New Roman" w:eastAsia="Times New Roman" w:hAnsi="Times New Roman"/>
          <w:sz w:val="14"/>
          <w:szCs w:val="14"/>
          <w:u w:val="single" w:color="auto"/>
          <w:color w:val="auto"/>
        </w:rPr>
        <w:t>Section 2.2(b)</w:t>
      </w:r>
    </w:p>
    <w:p>
      <w:pPr>
        <w:spacing w:after="0" w:line="17" w:lineRule="exact"/>
        <w:rPr>
          <w:rFonts w:ascii="Times New Roman" w:cs="Times New Roman" w:eastAsia="Times New Roman" w:hAnsi="Times New Roman"/>
          <w:sz w:val="14"/>
          <w:szCs w:val="14"/>
          <w:color w:val="auto"/>
        </w:rPr>
      </w:pPr>
    </w:p>
    <w:p>
      <w:pPr>
        <w:ind w:left="1280" w:firstLine="8"/>
        <w:spacing w:after="0" w:line="256" w:lineRule="auto"/>
        <w:tabs>
          <w:tab w:leader="none" w:pos="1539" w:val="left"/>
        </w:tabs>
        <w:numPr>
          <w:ilvl w:val="1"/>
          <w:numId w:val="7"/>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of the Disclosure Schedules (the “</w:t>
      </w:r>
      <w:r>
        <w:rPr>
          <w:rFonts w:ascii="Times New Roman" w:cs="Times New Roman" w:eastAsia="Times New Roman" w:hAnsi="Times New Roman"/>
          <w:sz w:val="14"/>
          <w:szCs w:val="14"/>
          <w:u w:val="single" w:color="auto"/>
          <w:color w:val="auto"/>
        </w:rPr>
        <w:t>Payoff Indebtedness</w:t>
      </w:r>
      <w:r>
        <w:rPr>
          <w:rFonts w:ascii="Times New Roman" w:cs="Times New Roman" w:eastAsia="Times New Roman" w:hAnsi="Times New Roman"/>
          <w:sz w:val="14"/>
          <w:szCs w:val="14"/>
          <w:color w:val="auto"/>
        </w:rPr>
        <w:t>”) in order to fully discharge such Payoff Indebtedness and terminate all applicable obligations and liabilities of the Company and any of its Affiliates related thereto, as specified in the Debt Payoff Letters and in accordance with this Agreement;</w:t>
      </w:r>
    </w:p>
    <w:p>
      <w:pPr>
        <w:jc w:val="both"/>
        <w:ind w:left="1280" w:firstLine="8"/>
        <w:spacing w:after="0" w:line="251" w:lineRule="auto"/>
        <w:tabs>
          <w:tab w:leader="none" w:pos="154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Buyer shall deliver or cause to be delivered on behalf of the Company the amount payable to each Person who is owed a portion of the Estimated Transaction Expenses, as specified in the Transaction Expenses Payoff Instructions and in accordance with this Agreement; provided, that, notwithstanding the foregoing, the Buyer shall deliver or cause to be delivered to the Company any Estimated Transaction Expenses that constitute compensation income to any employee or former employee of the Company or any of its Subsidiaries, and the Company shall pay such amounts, less any required Taxes, to the employee or former employee on the next regularly scheduled payroll date that is at least five Business Days following the Closing;</w:t>
      </w:r>
    </w:p>
    <w:p>
      <w:pPr>
        <w:spacing w:after="0" w:line="4" w:lineRule="exact"/>
        <w:rPr>
          <w:rFonts w:ascii="Times New Roman" w:cs="Times New Roman" w:eastAsia="Times New Roman" w:hAnsi="Times New Roman"/>
          <w:sz w:val="14"/>
          <w:szCs w:val="14"/>
          <w:color w:val="auto"/>
        </w:rPr>
      </w:pPr>
    </w:p>
    <w:p>
      <w:pPr>
        <w:ind w:left="1280" w:firstLine="8"/>
        <w:spacing w:after="0" w:line="261" w:lineRule="auto"/>
        <w:tabs>
          <w:tab w:leader="none" w:pos="1485"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Buyer shall deliver to the Sellers Representative an executed counterpart of (A) the Escrow Agreement, (B) Royalty Agreement, (C) the Employment Agreement, (D) the Restrictive Covenant Agreements and (E) the Confidentiality and Restrictive Covenants Agreement;</w:t>
      </w:r>
    </w:p>
    <w:p>
      <w:pPr>
        <w:ind w:left="1540" w:hanging="252"/>
        <w:spacing w:after="0"/>
        <w:tabs>
          <w:tab w:leader="none" w:pos="154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Sellers Representative shall deliver or cause to be delivered to the Buyer:</w:t>
      </w:r>
    </w:p>
    <w:p>
      <w:pPr>
        <w:spacing w:after="0" w:line="37" w:lineRule="exact"/>
        <w:rPr>
          <w:sz w:val="20"/>
          <w:szCs w:val="20"/>
          <w:color w:val="auto"/>
        </w:rPr>
      </w:pPr>
    </w:p>
    <w:p>
      <w:pPr>
        <w:jc w:val="both"/>
        <w:ind w:firstLine="1288"/>
        <w:spacing w:after="0" w:line="259" w:lineRule="auto"/>
        <w:tabs>
          <w:tab w:leader="none" w:pos="1719"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schedule allocating the Aggregate Closing Consideration among the Sellers and setting forth each Seller’s Pro Rata Share, which allocation schedule shall be confirmed by resolution executed by all of the Sellers (the “</w:t>
      </w:r>
      <w:r>
        <w:rPr>
          <w:rFonts w:ascii="Times New Roman" w:cs="Times New Roman" w:eastAsia="Times New Roman" w:hAnsi="Times New Roman"/>
          <w:sz w:val="14"/>
          <w:szCs w:val="14"/>
          <w:u w:val="single" w:color="auto"/>
          <w:color w:val="auto"/>
        </w:rPr>
        <w:t>Sellers’ Allocation Schedule</w:t>
      </w:r>
      <w:r>
        <w:rPr>
          <w:rFonts w:ascii="Times New Roman" w:cs="Times New Roman" w:eastAsia="Times New Roman" w:hAnsi="Times New Roman"/>
          <w:sz w:val="14"/>
          <w:szCs w:val="14"/>
          <w:color w:val="auto"/>
        </w:rPr>
        <w:t>”), and the Buyer shall have no responsibility for the accuracy of the allocations set forth in the Sellers’ Allocation Schedule;</w:t>
      </w:r>
    </w:p>
    <w:p>
      <w:pPr>
        <w:ind w:left="1620" w:hanging="332"/>
        <w:spacing w:after="0"/>
        <w:tabs>
          <w:tab w:leader="none" w:pos="16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each Seller, an instrument of conveyance and assignment to vest in the Buyer all of such Seller’s Equity Interests, duly executed by each such Seller;</w:t>
      </w:r>
    </w:p>
    <w:p>
      <w:pPr>
        <w:spacing w:after="0" w:line="37" w:lineRule="exact"/>
        <w:rPr>
          <w:rFonts w:ascii="Times New Roman" w:cs="Times New Roman" w:eastAsia="Times New Roman" w:hAnsi="Times New Roman"/>
          <w:sz w:val="14"/>
          <w:szCs w:val="14"/>
          <w:color w:val="auto"/>
        </w:rPr>
      </w:pPr>
    </w:p>
    <w:p>
      <w:pPr>
        <w:ind w:firstLine="1288"/>
        <w:spacing w:after="0" w:line="268" w:lineRule="auto"/>
        <w:tabs>
          <w:tab w:leader="none" w:pos="1659"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each Seller, duly executed accredited investor certificates, certifying that such Seller is an “accredited investor” within the meaning of Rule 501(a) of Regulation D under the Securities Act;</w:t>
      </w:r>
    </w:p>
    <w:p>
      <w:pPr>
        <w:ind w:left="1640" w:hanging="352"/>
        <w:spacing w:after="0"/>
        <w:tabs>
          <w:tab w:leader="none" w:pos="1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executed counterpart of the Escrow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300"/>
          </w:cols>
          <w:pgMar w:left="300" w:top="290" w:right="29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20" w:hanging="332"/>
        <w:spacing w:after="0"/>
        <w:tabs>
          <w:tab w:leader="none" w:pos="1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executed counterpart of the Royalty Agreement by each of the Sellers Representative and the Company;</w:t>
      </w:r>
    </w:p>
    <w:p>
      <w:pPr>
        <w:spacing w:after="0" w:line="37" w:lineRule="exact"/>
        <w:rPr>
          <w:rFonts w:ascii="Times New Roman" w:cs="Times New Roman" w:eastAsia="Times New Roman" w:hAnsi="Times New Roman"/>
          <w:sz w:val="14"/>
          <w:szCs w:val="14"/>
          <w:color w:val="auto"/>
        </w:rPr>
      </w:pPr>
    </w:p>
    <w:p>
      <w:pPr>
        <w:ind w:left="1600" w:hanging="312"/>
        <w:spacing w:after="0"/>
        <w:tabs>
          <w:tab w:leader="none" w:pos="16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executed counterpart of each of the Employment Agreement and the Confidentiality and Restrictive Covenants Agreement, duly executed by B.J. Ellis, Jr.;</w:t>
      </w:r>
    </w:p>
    <w:p>
      <w:pPr>
        <w:spacing w:after="0" w:line="37" w:lineRule="exact"/>
        <w:rPr>
          <w:rFonts w:ascii="Times New Roman" w:cs="Times New Roman" w:eastAsia="Times New Roman" w:hAnsi="Times New Roman"/>
          <w:sz w:val="14"/>
          <w:szCs w:val="14"/>
          <w:color w:val="auto"/>
        </w:rPr>
      </w:pPr>
    </w:p>
    <w:p>
      <w:pPr>
        <w:ind w:firstLine="1288"/>
        <w:spacing w:after="0" w:line="268" w:lineRule="auto"/>
        <w:tabs>
          <w:tab w:leader="none" w:pos="175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executed counterpart of the Restrictive Covenant Agreement, duly executed by Steve R. Dutton and an executed counterpart of the Restrictive Covenant Agreement, duly executed by Robert T. Herrin III;</w:t>
      </w:r>
    </w:p>
    <w:p>
      <w:pPr>
        <w:ind w:left="1640" w:hanging="352"/>
        <w:spacing w:after="0"/>
        <w:tabs>
          <w:tab w:leader="none" w:pos="1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books and records and other property of the Company or any of its Subsidiaries in any Seller’s possession or under any Seller’s control;</w:t>
      </w:r>
    </w:p>
    <w:p>
      <w:pPr>
        <w:spacing w:after="0" w:line="37" w:lineRule="exact"/>
        <w:rPr>
          <w:rFonts w:ascii="Times New Roman" w:cs="Times New Roman" w:eastAsia="Times New Roman" w:hAnsi="Times New Roman"/>
          <w:sz w:val="14"/>
          <w:szCs w:val="14"/>
          <w:color w:val="auto"/>
        </w:rPr>
      </w:pPr>
    </w:p>
    <w:p>
      <w:pPr>
        <w:ind w:right="20" w:firstLine="1288"/>
        <w:spacing w:after="0" w:line="268" w:lineRule="auto"/>
        <w:tabs>
          <w:tab w:leader="none" w:pos="163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evidence of releases of any Encumbrances (other than any Permitted Encumbrances) related to the Equity Interests and the assets and properties of the Company and its Subsidiaries;</w:t>
      </w:r>
    </w:p>
    <w:p>
      <w:pPr>
        <w:jc w:val="both"/>
        <w:ind w:firstLine="1288"/>
        <w:spacing w:after="0" w:line="245" w:lineRule="auto"/>
        <w:tabs>
          <w:tab w:leader="none" w:pos="168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payoff letter duly executed by each holder of Payoff Indebtedness together with any collateral release documents, including any applicable UCC termination statements, control agreement termination notices, mortgage releases, intellectual property security agreement releases, and other documentation required to evidence the termination and release of all Encumbrances and guarantees in connection with such Payoff Indebtedness, each in form and substance reasonably acceptable to the Buyer, in which the payee shall agree that upon payment of the amount specified in such payoff letter: (i) all outstanding obligations of the Company and its Subsidiaries arising under or related to the applicable Payoff Indebtedness shall be automatically repaid, discharged and extinguished in full; (ii) all Encumbrances in connection therewith shall be released; (iii) the payee shall take all actions reasonably requested by the Buyer to evidence and record such discharge and release (including any collateral release documents) and to transfer legal title of any assets that were the subject of such Payoff Indebtedness to the Buyer or its Subsidiaries, as applicable, as promptly as practicable; and (iv) the payee shall return to the Company or its applicable Subsidiaries all instruments evidencing the applicable Payoff Indebtedness (including all notes) and all possessory collateral securing the applicable Payoff Indebtedness (each such payoff letter, a “</w:t>
      </w:r>
      <w:r>
        <w:rPr>
          <w:rFonts w:ascii="Times New Roman" w:cs="Times New Roman" w:eastAsia="Times New Roman" w:hAnsi="Times New Roman"/>
          <w:sz w:val="14"/>
          <w:szCs w:val="14"/>
          <w:u w:val="single" w:color="auto"/>
          <w:color w:val="auto"/>
        </w:rPr>
        <w:t>Debt Payoff Letter</w:t>
      </w:r>
      <w:r>
        <w:rPr>
          <w:rFonts w:ascii="Times New Roman" w:cs="Times New Roman" w:eastAsia="Times New Roman" w:hAnsi="Times New Roman"/>
          <w:sz w:val="14"/>
          <w:szCs w:val="14"/>
          <w:color w:val="auto"/>
        </w:rPr>
        <w:t>”);</w:t>
      </w:r>
    </w:p>
    <w:p>
      <w:pPr>
        <w:spacing w:after="0" w:line="8" w:lineRule="exact"/>
        <w:rPr>
          <w:rFonts w:ascii="Times New Roman" w:cs="Times New Roman" w:eastAsia="Times New Roman" w:hAnsi="Times New Roman"/>
          <w:sz w:val="14"/>
          <w:szCs w:val="14"/>
          <w:color w:val="auto"/>
        </w:rPr>
      </w:pPr>
    </w:p>
    <w:p>
      <w:pPr>
        <w:jc w:val="both"/>
        <w:ind w:firstLine="1288"/>
        <w:spacing w:after="0" w:line="246" w:lineRule="auto"/>
        <w:tabs>
          <w:tab w:leader="none" w:pos="171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calculation of the aggregate number of fractional share interests that would otherwise be delivered to the Sellers in exchange for the Equity Interests, and the aggregate Fractional Share Cash Amount (as defined below) to be delivered in lieu thereof. Notwithstanding anything to the contrary contained herein, no fractional Buyer Common Shares shall be delivered to the Sellers in exchange for Equity Interests, no dividend or distribution with respect to Buyer Common Shares shall be payable on or with respect to any fractional share, and such fractional share interests shall not entitle the owner thereof to vote or to any other rights of a stockholder of the Buyer. In lieu of the delivery of any such fractional share, the Buyer shall pay, or cause to be paid, pursuant to </w:t>
      </w:r>
      <w:r>
        <w:rPr>
          <w:rFonts w:ascii="Times New Roman" w:cs="Times New Roman" w:eastAsia="Times New Roman" w:hAnsi="Times New Roman"/>
          <w:sz w:val="14"/>
          <w:szCs w:val="14"/>
          <w:u w:val="single" w:color="auto"/>
          <w:color w:val="auto"/>
        </w:rPr>
        <w:t>Section 2.2(c)</w:t>
      </w:r>
      <w:r>
        <w:rPr>
          <w:rFonts w:ascii="Times New Roman" w:cs="Times New Roman" w:eastAsia="Times New Roman" w:hAnsi="Times New Roman"/>
          <w:sz w:val="14"/>
          <w:szCs w:val="14"/>
          <w:color w:val="auto"/>
        </w:rPr>
        <w:t xml:space="preserve"> to each applicable Seller who otherwise would receive any such fractional share, an amount in cash (rounded to the nearest cent) determined by multiplying (i) the Price Per Share by (ii) the fraction of a Buyer Common Share (rounded to the nearest thousandth when expressed in decimal form) which the Seller would otherwise be entitled to receive pursuant to </w:t>
      </w:r>
      <w:r>
        <w:rPr>
          <w:rFonts w:ascii="Times New Roman" w:cs="Times New Roman" w:eastAsia="Times New Roman" w:hAnsi="Times New Roman"/>
          <w:sz w:val="14"/>
          <w:szCs w:val="14"/>
          <w:u w:val="single" w:color="auto"/>
          <w:color w:val="auto"/>
        </w:rPr>
        <w:t>Section 2.2(c)</w:t>
      </w:r>
      <w:r>
        <w:rPr>
          <w:rFonts w:ascii="Times New Roman" w:cs="Times New Roman" w:eastAsia="Times New Roman" w:hAnsi="Times New Roman"/>
          <w:sz w:val="14"/>
          <w:szCs w:val="14"/>
          <w:color w:val="auto"/>
        </w:rPr>
        <w:t xml:space="preserve"> (such amount, the “</w:t>
      </w:r>
      <w:r>
        <w:rPr>
          <w:rFonts w:ascii="Times New Roman" w:cs="Times New Roman" w:eastAsia="Times New Roman" w:hAnsi="Times New Roman"/>
          <w:sz w:val="14"/>
          <w:szCs w:val="14"/>
          <w:u w:val="single" w:color="auto"/>
          <w:color w:val="auto"/>
        </w:rPr>
        <w:t>Fractional Share Cash Amount</w:t>
      </w:r>
      <w:r>
        <w:rPr>
          <w:rFonts w:ascii="Times New Roman" w:cs="Times New Roman" w:eastAsia="Times New Roman" w:hAnsi="Times New Roman"/>
          <w:sz w:val="14"/>
          <w:szCs w:val="14"/>
          <w:color w:val="auto"/>
        </w:rPr>
        <w:t>”);</w:t>
      </w:r>
    </w:p>
    <w:p>
      <w:pPr>
        <w:spacing w:after="0" w:line="5" w:lineRule="exact"/>
        <w:rPr>
          <w:rFonts w:ascii="Times New Roman" w:cs="Times New Roman" w:eastAsia="Times New Roman" w:hAnsi="Times New Roman"/>
          <w:sz w:val="14"/>
          <w:szCs w:val="14"/>
          <w:color w:val="auto"/>
        </w:rPr>
      </w:pPr>
    </w:p>
    <w:p>
      <w:pPr>
        <w:ind w:firstLine="1288"/>
        <w:spacing w:after="0" w:line="268" w:lineRule="auto"/>
        <w:tabs>
          <w:tab w:leader="none" w:pos="165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properly completed IRS Form W-9 for each Seller certifying that such Seller is not a non-U.S. person and is not subject to U.S. federal backup withholding taxes, duly executed by each such Seller;</w:t>
      </w:r>
    </w:p>
    <w:p>
      <w:pPr>
        <w:ind w:left="1660" w:hanging="372"/>
        <w:spacing w:after="0"/>
        <w:tabs>
          <w:tab w:leader="none" w:pos="1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written resignations, dated as of the date hereof, of each officer, director and manager of the Company and its Subsidiaries;</w:t>
      </w:r>
    </w:p>
    <w:p>
      <w:pPr>
        <w:spacing w:after="0" w:line="37" w:lineRule="exact"/>
        <w:rPr>
          <w:rFonts w:ascii="Times New Roman" w:cs="Times New Roman" w:eastAsia="Times New Roman" w:hAnsi="Times New Roman"/>
          <w:sz w:val="14"/>
          <w:szCs w:val="14"/>
          <w:color w:val="auto"/>
        </w:rPr>
      </w:pPr>
    </w:p>
    <w:p>
      <w:pPr>
        <w:ind w:right="20" w:firstLine="1288"/>
        <w:spacing w:after="0" w:line="268" w:lineRule="auto"/>
        <w:tabs>
          <w:tab w:leader="none" w:pos="16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a certificate of good standing for the Company and each of its Subsidiaries, issued by the jurisdiction of the applicable entity’s formation, dated as of a date that is no earlier than May 26, 2026; and</w:t>
      </w:r>
    </w:p>
    <w:p>
      <w:pPr>
        <w:ind w:firstLine="1288"/>
        <w:spacing w:after="0" w:line="282" w:lineRule="auto"/>
        <w:tabs>
          <w:tab w:leader="none" w:pos="169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reasonably satisfactory to the Buyer of the Company’s procurement of “tail” insurance policies (“</w:t>
      </w:r>
      <w:r>
        <w:rPr>
          <w:rFonts w:ascii="Times New Roman" w:cs="Times New Roman" w:eastAsia="Times New Roman" w:hAnsi="Times New Roman"/>
          <w:sz w:val="14"/>
          <w:szCs w:val="14"/>
          <w:u w:val="single" w:color="auto"/>
          <w:color w:val="auto"/>
        </w:rPr>
        <w:t>Tail Coverage</w:t>
      </w:r>
      <w:r>
        <w:rPr>
          <w:rFonts w:ascii="Times New Roman" w:cs="Times New Roman" w:eastAsia="Times New Roman" w:hAnsi="Times New Roman"/>
          <w:sz w:val="14"/>
          <w:szCs w:val="14"/>
          <w:color w:val="auto"/>
        </w:rPr>
        <w:t>”), which expense shall be a Transaction Expense for purposes of this Agreement, with a claims period of at least six years from the Closing from the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300"/>
          </w:cols>
          <w:pgMar w:left="300" w:top="290" w:right="29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Company’s current insurance carrier with respect to directors’ and officers’ liability insurance in an amount and scope at least as favorable as the Company’s existing policies with respect to matters, acts or omissions existing or occurring at or prior to the Closing.</w:t>
      </w:r>
    </w:p>
    <w:p>
      <w:pPr>
        <w:ind w:right="20" w:firstLine="856"/>
        <w:spacing w:after="0" w:line="268" w:lineRule="auto"/>
        <w:tabs>
          <w:tab w:leader="none" w:pos="107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Closing, the Aggregate Cash Closing Consideration and each Seller’s Fractional Share Cash Amount shall be distributed by the Sellers Representative to the Sellers in accordance with the Sellers’ Allocation Schedule.</w:t>
      </w:r>
    </w:p>
    <w:p>
      <w:pPr>
        <w:ind w:firstLine="856"/>
        <w:spacing w:after="0" w:line="268" w:lineRule="auto"/>
        <w:tabs>
          <w:tab w:leader="none" w:pos="108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2.2(b)(iii)</w:t>
      </w:r>
      <w:r>
        <w:rPr>
          <w:rFonts w:ascii="Times New Roman" w:cs="Times New Roman" w:eastAsia="Times New Roman" w:hAnsi="Times New Roman"/>
          <w:sz w:val="14"/>
          <w:szCs w:val="14"/>
          <w:color w:val="auto"/>
        </w:rPr>
        <w:t xml:space="preserve"> above, all cash payments hereunder shall be made by wire transfer of immediately available funds in United States dollars to such account as may be designated to the payor by the payee at least two Business Days prior to the applicable payment date.</w:t>
      </w:r>
    </w:p>
    <w:p>
      <w:pPr>
        <w:jc w:val="both"/>
        <w:ind w:firstLine="432"/>
        <w:spacing w:after="0" w:line="245" w:lineRule="auto"/>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Closing Estimates.</w:t>
      </w:r>
      <w:r>
        <w:rPr>
          <w:rFonts w:ascii="Times New Roman" w:cs="Times New Roman" w:eastAsia="Times New Roman" w:hAnsi="Times New Roman"/>
          <w:sz w:val="14"/>
          <w:szCs w:val="14"/>
          <w:color w:val="auto"/>
        </w:rPr>
        <w:t xml:space="preserve"> Set forth on Exhibit F are (i) a consolidated balance sheet of the Company and its Subsidiaries, as of the Calculation Time (the “Preliminary Closing Balance Sheet”), (ii) the Company’s good-faith estimate of (A) Net Working Capital based on the Preliminary Closing Balance Sheet (the “Estimated Net Working Capital”), (B) Indebtedness (the “Estimated Indebtedness”), (C) Cash (the “Estimated Cash”) and (D) all Transaction Expenses that are accrued or due and remain unpaid (the “Estimated Transaction Expenses”) (with each of Estimated Net Working Capital, Estimated Cash and Estimated Indebtedness determined as of the Calculation Time and, except for Estimated Transaction Expenses, without giving effect to the transactions contemplated herein) and (iii) on the basis of the foregoing, a calculation of the Estimated Purchase Price. Estimated Net Working Capital, Estimated Indebtedness and Estimated Cash shall be calculated in accordance with GAAP applied on a basis consistent with the preparation of the Balance Sheet (provided, that in the event of a conflict between GAAP and consistent application thereof, GAAP shall prevail), subject to such differences in accounting principles, policies and procedures as are set forth on Section 2.3 of the Disclosure Schedules (GAAP as so modified pursuant to Section 2.3 of the Disclosure Schedules, the “Applicable Accounting Principles”).</w:t>
      </w:r>
    </w:p>
    <w:p>
      <w:pPr>
        <w:spacing w:after="0" w:line="8"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2.4</w:t>
      </w:r>
      <w:r>
        <w:rPr>
          <w:sz w:val="20"/>
          <w:szCs w:val="20"/>
          <w:color w:val="auto"/>
        </w:rPr>
        <w:tab/>
      </w:r>
      <w:r>
        <w:rPr>
          <w:rFonts w:ascii="Times New Roman" w:cs="Times New Roman" w:eastAsia="Times New Roman" w:hAnsi="Times New Roman"/>
          <w:sz w:val="14"/>
          <w:szCs w:val="14"/>
          <w:u w:val="single" w:color="auto"/>
          <w:color w:val="auto"/>
        </w:rPr>
        <w:t>Post-Closing Adjustment of Purchase Price.</w:t>
      </w:r>
    </w:p>
    <w:p>
      <w:pPr>
        <w:spacing w:after="0" w:line="37" w:lineRule="exact"/>
        <w:rPr>
          <w:sz w:val="20"/>
          <w:szCs w:val="20"/>
          <w:color w:val="auto"/>
        </w:rPr>
      </w:pPr>
    </w:p>
    <w:p>
      <w:pPr>
        <w:jc w:val="both"/>
        <w:ind w:firstLine="856"/>
        <w:spacing w:after="0" w:line="242" w:lineRule="auto"/>
        <w:tabs>
          <w:tab w:leader="none" w:pos="1241"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90 days after the date hereof, the Buyer shall prepare, or cause to be prepared, and deliver to the Sellers Representative a written statement (the “</w:t>
      </w:r>
      <w:r>
        <w:rPr>
          <w:rFonts w:ascii="Times New Roman" w:cs="Times New Roman" w:eastAsia="Times New Roman" w:hAnsi="Times New Roman"/>
          <w:sz w:val="14"/>
          <w:szCs w:val="14"/>
          <w:u w:val="single" w:color="auto"/>
          <w:color w:val="auto"/>
        </w:rPr>
        <w:t>Final Closing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Statement</w:t>
      </w:r>
      <w:r>
        <w:rPr>
          <w:rFonts w:ascii="Times New Roman" w:cs="Times New Roman" w:eastAsia="Times New Roman" w:hAnsi="Times New Roman"/>
          <w:sz w:val="14"/>
          <w:szCs w:val="14"/>
          <w:color w:val="auto"/>
        </w:rPr>
        <w:t>”) that shall include and set forth Buyer’s reasonable good faith calculation of (i) a consolidated balance sheet of the Company and its Subsidiaries, as of the Calculation Time (the “</w:t>
      </w:r>
      <w:r>
        <w:rPr>
          <w:rFonts w:ascii="Times New Roman" w:cs="Times New Roman" w:eastAsia="Times New Roman" w:hAnsi="Times New Roman"/>
          <w:sz w:val="14"/>
          <w:szCs w:val="14"/>
          <w:u w:val="single" w:color="auto"/>
          <w:color w:val="auto"/>
        </w:rPr>
        <w:t>Closing Balance Sheet</w:t>
      </w:r>
      <w:r>
        <w:rPr>
          <w:rFonts w:ascii="Times New Roman" w:cs="Times New Roman" w:eastAsia="Times New Roman" w:hAnsi="Times New Roman"/>
          <w:sz w:val="14"/>
          <w:szCs w:val="14"/>
          <w:color w:val="auto"/>
        </w:rPr>
        <w:t>”) and (ii) a calculation of the actual (A) Net Working Capital (the “</w:t>
      </w:r>
      <w:r>
        <w:rPr>
          <w:rFonts w:ascii="Times New Roman" w:cs="Times New Roman" w:eastAsia="Times New Roman" w:hAnsi="Times New Roman"/>
          <w:sz w:val="14"/>
          <w:szCs w:val="14"/>
          <w:u w:val="single" w:color="auto"/>
          <w:color w:val="auto"/>
        </w:rPr>
        <w:t>Closing Net Working Capital</w:t>
      </w:r>
      <w:r>
        <w:rPr>
          <w:rFonts w:ascii="Times New Roman" w:cs="Times New Roman" w:eastAsia="Times New Roman" w:hAnsi="Times New Roman"/>
          <w:sz w:val="14"/>
          <w:szCs w:val="14"/>
          <w:color w:val="auto"/>
        </w:rPr>
        <w:t>”), (B) Indebtedness (the “</w:t>
      </w:r>
      <w:r>
        <w:rPr>
          <w:rFonts w:ascii="Times New Roman" w:cs="Times New Roman" w:eastAsia="Times New Roman" w:hAnsi="Times New Roman"/>
          <w:sz w:val="14"/>
          <w:szCs w:val="14"/>
          <w:u w:val="single" w:color="auto"/>
          <w:color w:val="auto"/>
        </w:rPr>
        <w:t>Closing Indebtedness</w:t>
      </w:r>
      <w:r>
        <w:rPr>
          <w:rFonts w:ascii="Times New Roman" w:cs="Times New Roman" w:eastAsia="Times New Roman" w:hAnsi="Times New Roman"/>
          <w:sz w:val="14"/>
          <w:szCs w:val="14"/>
          <w:color w:val="auto"/>
        </w:rPr>
        <w:t>”), (C) Cash (the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Cash</w:t>
      </w:r>
      <w:r>
        <w:rPr>
          <w:rFonts w:ascii="Times New Roman" w:cs="Times New Roman" w:eastAsia="Times New Roman" w:hAnsi="Times New Roman"/>
          <w:sz w:val="14"/>
          <w:szCs w:val="14"/>
          <w:color w:val="auto"/>
        </w:rPr>
        <w:t>”) and (D) Transaction Expenses (the “</w:t>
      </w:r>
      <w:r>
        <w:rPr>
          <w:rFonts w:ascii="Times New Roman" w:cs="Times New Roman" w:eastAsia="Times New Roman" w:hAnsi="Times New Roman"/>
          <w:sz w:val="14"/>
          <w:szCs w:val="14"/>
          <w:u w:val="single" w:color="auto"/>
          <w:color w:val="auto"/>
        </w:rPr>
        <w:t>Closing Transaction Expenses</w:t>
      </w:r>
      <w:r>
        <w:rPr>
          <w:rFonts w:ascii="Times New Roman" w:cs="Times New Roman" w:eastAsia="Times New Roman" w:hAnsi="Times New Roman"/>
          <w:sz w:val="14"/>
          <w:szCs w:val="14"/>
          <w:color w:val="auto"/>
        </w:rPr>
        <w:t xml:space="preserve">”)(with each of Closing Net Working Capital, Closing Indebtedness and Closing Cash determined as of the Calculation Time and, except for Closing Transaction Expenses, without giving effect to the transactions contemplated herein), along with reasonable supporting detail therefor, in each case calculated in accordance with the applicable definitions set forth in this Agreement and in accordance with the Applicable Accounting Principles. Buyer shall provide the Sellers Representative and its Representatives with reasonable access during normal business hours to such personnel, documents and information of Buyer and its Affiliates as is reasonably necessary for the Sellers Representative or such Representatives to review of the Final Closing Statement, provided that (i) any such access shall be conducted in a manner that does not unreasonably disrupt or interfere with the normal business operations of Buyer, its Subsidiaries and their respective Affiliates, (ii) Buyer shall not be required to provide access to any information that is subject to attorney-client privilege or work product protection and (iii) the Sellers Representative and its Representatives shall treat all information obtained pursuant to this </w:t>
      </w:r>
      <w:r>
        <w:rPr>
          <w:rFonts w:ascii="Times New Roman" w:cs="Times New Roman" w:eastAsia="Times New Roman" w:hAnsi="Times New Roman"/>
          <w:sz w:val="14"/>
          <w:szCs w:val="14"/>
          <w:u w:val="single" w:color="auto"/>
          <w:color w:val="auto"/>
        </w:rPr>
        <w:t>Section 2.4(a)</w:t>
      </w:r>
      <w:r>
        <w:rPr>
          <w:rFonts w:ascii="Times New Roman" w:cs="Times New Roman" w:eastAsia="Times New Roman" w:hAnsi="Times New Roman"/>
          <w:sz w:val="14"/>
          <w:szCs w:val="14"/>
          <w:color w:val="auto"/>
        </w:rPr>
        <w:t xml:space="preserve"> as confidential and shall not use such information for any purpose other than reviewing the Final Closing Statement. If Buyer fails to prepare and deliver the Final Closing Statement to the Sellers Representative within such time period, the Sellers Representative may notify Buyer in writing of such failure and should Buyer fail to prepare and deliver the Final Closing Statement to the Sellers Representative within ten Business Days thereafter, the Sellers Representative may prepare and deliver the Final Closing Statement to Buyer (at Buyer’s expense), in which case (x) Buyer shall make available to the Sellers Representative and its Representatives such personnel, documents and information of Buyer and its Affiliates as is reasonably necessary for the Sellers Representative to prepare the Final Closing Statement, subject to the aforementioned confidentiality, privilege and non-disruption protections set forth</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300"/>
          </w:cols>
          <w:pgMar w:left="300" w:top="290" w:right="29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above, and (y) relevant references to Buyer in </w:t>
      </w:r>
      <w:r>
        <w:rPr>
          <w:rFonts w:ascii="Times New Roman" w:cs="Times New Roman" w:eastAsia="Times New Roman" w:hAnsi="Times New Roman"/>
          <w:sz w:val="14"/>
          <w:szCs w:val="14"/>
          <w:u w:val="single" w:color="auto"/>
          <w:color w:val="auto"/>
        </w:rPr>
        <w:t>Section 2.4(a)</w:t>
      </w:r>
      <w:r>
        <w:rPr>
          <w:rFonts w:ascii="Times New Roman" w:cs="Times New Roman" w:eastAsia="Times New Roman" w:hAnsi="Times New Roman"/>
          <w:sz w:val="14"/>
          <w:szCs w:val="14"/>
          <w:color w:val="auto"/>
        </w:rPr>
        <w:t xml:space="preserve"> shall be deemed references to the Sellers Representative and relevant references to the Sellers Representative in </w:t>
      </w:r>
      <w:r>
        <w:rPr>
          <w:rFonts w:ascii="Times New Roman" w:cs="Times New Roman" w:eastAsia="Times New Roman" w:hAnsi="Times New Roman"/>
          <w:sz w:val="14"/>
          <w:szCs w:val="14"/>
          <w:u w:val="single" w:color="auto"/>
          <w:color w:val="auto"/>
        </w:rPr>
        <w:t>Section 2.4(a)</w:t>
      </w:r>
      <w:r>
        <w:rPr>
          <w:rFonts w:ascii="Times New Roman" w:cs="Times New Roman" w:eastAsia="Times New Roman" w:hAnsi="Times New Roman"/>
          <w:sz w:val="14"/>
          <w:szCs w:val="14"/>
          <w:color w:val="auto"/>
        </w:rPr>
        <w:t xml:space="preserve"> shall be deemed references to Buyer. Closing Net Working Capital, Closing Indebtedness and Closing Cash shall be calculated in accordance with the Applicable Accounting Principles.</w:t>
      </w:r>
    </w:p>
    <w:p>
      <w:pPr>
        <w:jc w:val="both"/>
        <w:ind w:firstLine="856"/>
        <w:spacing w:after="0" w:line="246" w:lineRule="auto"/>
        <w:tabs>
          <w:tab w:leader="none" w:pos="122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Final Closing Statement shall become final and binding on the 30th day following delivery thereof, unless prior to the end of such period, the Sellers Representative delivers to the Buyer written notice of its disagreement (a “</w:t>
      </w:r>
      <w:r>
        <w:rPr>
          <w:rFonts w:ascii="Times New Roman" w:cs="Times New Roman" w:eastAsia="Times New Roman" w:hAnsi="Times New Roman"/>
          <w:sz w:val="14"/>
          <w:szCs w:val="14"/>
          <w:u w:val="single" w:color="auto"/>
          <w:color w:val="auto"/>
        </w:rPr>
        <w:t>Notice of Disagreement</w:t>
      </w:r>
      <w:r>
        <w:rPr>
          <w:rFonts w:ascii="Times New Roman" w:cs="Times New Roman" w:eastAsia="Times New Roman" w:hAnsi="Times New Roman"/>
          <w:sz w:val="14"/>
          <w:szCs w:val="14"/>
          <w:color w:val="auto"/>
        </w:rPr>
        <w:t xml:space="preserve">”) specifying the nature and amount of any dispute as to the Closing Net Working Capital, Closing Indebtedness, Closing Cash and/or Closing Transaction Expenses, as set forth in the Final Closing Statement. The Sellers Representative and the Sellers shall be deemed to have agreed with all items and amounts of Closing Net Working Capital, Closing Indebtedness, Closing Cash and/or Closing Transaction Expenses not specifically referenced in the Notice of Disagreement, and such items and amounts shall not be subject to review in accordance with </w:t>
      </w:r>
      <w:r>
        <w:rPr>
          <w:rFonts w:ascii="Times New Roman" w:cs="Times New Roman" w:eastAsia="Times New Roman" w:hAnsi="Times New Roman"/>
          <w:sz w:val="14"/>
          <w:szCs w:val="14"/>
          <w:u w:val="single" w:color="auto"/>
          <w:color w:val="auto"/>
        </w:rPr>
        <w:t>Section 2.4(c)</w:t>
      </w:r>
      <w:r>
        <w:rPr>
          <w:rFonts w:ascii="Times New Roman" w:cs="Times New Roman" w:eastAsia="Times New Roman" w:hAnsi="Times New Roman"/>
          <w:sz w:val="14"/>
          <w:szCs w:val="14"/>
          <w:color w:val="auto"/>
        </w:rPr>
        <w:t xml:space="preserve">. Any Notice of Disagreement may reference only disagreements based on mathematical errors or based on amounts of the Closing Net Working Capital, Closing Indebtedness, Closing Cash and/or Closing Transaction Expenses as reflected on the Final Closing Statement not being calculated in accordance with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and the definitions thereof.</w:t>
      </w:r>
    </w:p>
    <w:p>
      <w:pPr>
        <w:spacing w:after="0" w:line="161" w:lineRule="exact"/>
        <w:rPr>
          <w:rFonts w:ascii="Times New Roman" w:cs="Times New Roman" w:eastAsia="Times New Roman" w:hAnsi="Times New Roman"/>
          <w:sz w:val="14"/>
          <w:szCs w:val="14"/>
          <w:color w:val="auto"/>
        </w:rPr>
      </w:pPr>
    </w:p>
    <w:p>
      <w:pPr>
        <w:jc w:val="both"/>
        <w:ind w:firstLine="856"/>
        <w:spacing w:after="0" w:line="164" w:lineRule="exact"/>
        <w:tabs>
          <w:tab w:leader="none" w:pos="119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15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period following delivery of a Notice of Disagreement by the Sellers Representative to the Buyer, the parties in good faith shall seek to resolve in writing any differences that they may have with respect to the computation of the Closing Net Working Capital, Closing Indebtedness, Closing Cash and/or Closing Transaction Expenses as specified therein. Any disputed items resolved in writing between the Sellers Representative and the Buyer within such 15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period shall be final and binding with respect to such items, and if the Sellers Representative and the Buyer agree in writing on the resolution of each disputed item specified by the Sellers Representative in the Notice of Disagreement and the amount of the Closing Net Working Capital, Closing Indebtedness, Closing Cash and Closing Transaction Expenses, the amounts so determined shall be final and binding on the parties for all purposes hereunder. If the Sellers Representative and the Buyer have not resolved all such differences by the end of such 15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period, either party shall have the right to submit, in writing, to an independent public accounting firm (the “</w:t>
      </w:r>
      <w:r>
        <w:rPr>
          <w:rFonts w:ascii="Times New Roman" w:cs="Times New Roman" w:eastAsia="Times New Roman" w:hAnsi="Times New Roman"/>
          <w:sz w:val="14"/>
          <w:szCs w:val="14"/>
          <w:u w:val="single" w:color="auto"/>
          <w:color w:val="auto"/>
        </w:rPr>
        <w:t>Independent Accounting Firm</w:t>
      </w:r>
      <w:r>
        <w:rPr>
          <w:rFonts w:ascii="Times New Roman" w:cs="Times New Roman" w:eastAsia="Times New Roman" w:hAnsi="Times New Roman"/>
          <w:sz w:val="14"/>
          <w:szCs w:val="14"/>
          <w:color w:val="auto"/>
        </w:rPr>
        <w:t>”), each item in the Final Closing Statement remaining in dispute after such 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Within 10 days of submission of any such disputed amount to the Independent Accounting Firm, both the Buyer and the Sellers Representative shall enter into the Independent Accounting Firm’s standard engagement letter and shall instruct the Independent Accounting Firm to render its decision within 45 days of its referral. The Independent Accounting Firm shall make a written determination as to each such disputed item and the amount of the Closing Net Working Capital, Closing Indebtedness, Closing Cash and Closing Transaction Expenses, which determination shall be final and binding on the parties for all purposes hereunder and shall not be subject to appeal or further review. The Independent Accounting Firm shall consider only those items and amounts in the Sellers Representative’s and the Buyer’s respective calculations of the Closing Net Working Capital, Closing Indebtedness, Closing Cash and Closing Transaction Expenses that are identified as being items and amounts to which the Sellers Representative and the Buyer have been unable to agree. In resolving any disputed item, the Independent Accounting Firm may not assign a value to any item greater than the greatest value for such item claimed by either party or less than the smallest value for such item claimed by either party. All communications with the Independent Accounting Firm shall include at least one Representative of each of Seller and Buyer, and no party shall be permitted to communicate with the Independent Accounting Firm other than as expressly set forth herein. The Independent Accounting Firm shall be KPMG LLP or, if such firm is unable or unwilling to act, such other independent public accounting firm as shall be agreed in writing by the Sellers Representative and the Buyer. The Sellers Representative and the Buyer shall use their commercially reasonable efforts to cause the Independent Accounting Firm to render a written decision resolving the matters submitted to it as promptly as practicable, and in any event within 30 days following the submission thereof. Judgment may be entered upon the written determination of the Independent Accounting Firm in accordance with </w:t>
      </w:r>
      <w:r>
        <w:rPr>
          <w:rFonts w:ascii="Times New Roman" w:cs="Times New Roman" w:eastAsia="Times New Roman" w:hAnsi="Times New Roman"/>
          <w:sz w:val="14"/>
          <w:szCs w:val="14"/>
          <w:u w:val="single" w:color="auto"/>
          <w:color w:val="auto"/>
        </w:rPr>
        <w:t>Section 8.10</w:t>
      </w:r>
      <w:r>
        <w:rPr>
          <w:rFonts w:ascii="Times New Roman" w:cs="Times New Roman" w:eastAsia="Times New Roman" w:hAnsi="Times New Roman"/>
          <w:sz w:val="14"/>
          <w:szCs w:val="14"/>
          <w:color w:val="auto"/>
        </w:rPr>
        <w:t>. In acting under this Agreement, the Independent Accounting Firm shall function solely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300"/>
          </w:cols>
          <w:pgMar w:left="300" w:top="290" w:right="299" w:bottom="1440" w:gutter="0" w:footer="0" w:header="0"/>
        </w:sectPr>
      </w:pPr>
    </w:p>
    <w:bookmarkStart w:id="23" w:name="page24"/>
    <w:bookmarkEnd w:id="23"/>
    <w:p>
      <w:pPr>
        <w:ind w:left="10628"/>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 xml:space="preserve">as an expert and not as an arbitrator;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Independent Accounting Firm shall have the power to conclusively resolve differences in disputed items as specified in this Agreement.</w:t>
      </w:r>
    </w:p>
    <w:p>
      <w:pPr>
        <w:spacing w:after="0" w:line="37" w:lineRule="exact"/>
        <w:rPr>
          <w:sz w:val="20"/>
          <w:szCs w:val="20"/>
          <w:color w:val="auto"/>
        </w:rPr>
      </w:pPr>
    </w:p>
    <w:p>
      <w:pPr>
        <w:jc w:val="both"/>
        <w:ind w:left="8" w:firstLine="856"/>
        <w:spacing w:after="0" w:line="245" w:lineRule="auto"/>
        <w:tabs>
          <w:tab w:leader="none" w:pos="1289"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costs of any dispute resolution pursuant to </w:t>
      </w:r>
      <w:r>
        <w:rPr>
          <w:rFonts w:ascii="Times New Roman" w:cs="Times New Roman" w:eastAsia="Times New Roman" w:hAnsi="Times New Roman"/>
          <w:sz w:val="14"/>
          <w:szCs w:val="14"/>
          <w:u w:val="single" w:color="auto"/>
          <w:color w:val="auto"/>
        </w:rPr>
        <w:t>Section 2.4(c)</w:t>
      </w:r>
      <w:r>
        <w:rPr>
          <w:rFonts w:ascii="Times New Roman" w:cs="Times New Roman" w:eastAsia="Times New Roman" w:hAnsi="Times New Roman"/>
          <w:sz w:val="14"/>
          <w:szCs w:val="14"/>
          <w:color w:val="auto"/>
        </w:rPr>
        <w:t>, including the fees and expenses of the Independent Accounting Firm and of any enforcement of the determination thereof, shall be borne by the Sellers and the Buyer in inverse proportion as they may prevail on the matters resolved by the Independent Accounting Firm, which proportionate allocation shall be calculated on an aggregate basis based on the relative dollar values of the amounts in dispute and shall be determined by the Independent Accounting Firm at the time the determination of such firm is rendered on the merits of the matters submitted. For example, if the Sellers Representative disputes $1,000,000 of a proposed Net Adjustment Amount but the Independent Accounting Firm determines that the Sellers Representative has a valid claim for only $400,000, the Sellers Representative (on behalf of the Sellers) shall bear 60% (i.e., $600,000/$1,000,000) of the fees and expenses of the Independent Accounting Firm and the Buyer shall bear the other 40% of such fees and expenses (i.e. $400,000/$1,000,000). The fees and disbursements of the Representatives of each party incurred in connection with the preparation or review of the Final Closing Statement and preparation or review of any Notice of Disagreement, as applicable, shall be borne by the party retaining such Representative.</w:t>
      </w:r>
    </w:p>
    <w:p>
      <w:pPr>
        <w:spacing w:after="0" w:line="8" w:lineRule="exact"/>
        <w:rPr>
          <w:rFonts w:ascii="Times New Roman" w:cs="Times New Roman" w:eastAsia="Times New Roman" w:hAnsi="Times New Roman"/>
          <w:sz w:val="14"/>
          <w:szCs w:val="14"/>
          <w:color w:val="auto"/>
        </w:rPr>
      </w:pPr>
    </w:p>
    <w:p>
      <w:pPr>
        <w:jc w:val="both"/>
        <w:ind w:left="8" w:firstLine="856"/>
        <w:spacing w:after="0" w:line="247" w:lineRule="auto"/>
        <w:tabs>
          <w:tab w:leader="none" w:pos="1184"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Buyer and the Sellers Representative will, and will cause the Company (in the case of the Sellers Representative, prior to the Closing and, in the case of the Buyer, during the period from and after the date of delivery of the Final Closing Statement through the resolution of any adjustment to the Purchase Price contemplated by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to afford to the Buyer and its Representatives, in the case of the Sellers Representative, and to afford to the Sellers Representative and its Representatives, in the case of the Buyer, reasonable access, during normal business hours and upon reasonable prior notice, to the personnel, properties, books and records of the Company and its Subsidiaries and to any other information reasonably requested for purposes of preparing and reviewing the calculations contemplated by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Each party shall authorize its accountants to disclose work papers generated by such accountants in connection with preparing and reviewing the calculations of the Net Working Capital, Cash, Indebtedness and Transaction Expenses as specified in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accountants shall not be obligated to make any work papers available except in accordance with such accountants’ disclosure procedures and then only after the non-client party has signed an agreement relating to access to such work papers in form and substance acceptable to such accountants.</w:t>
      </w:r>
    </w:p>
    <w:p>
      <w:pPr>
        <w:spacing w:after="0" w:line="6" w:lineRule="exact"/>
        <w:rPr>
          <w:rFonts w:ascii="Times New Roman" w:cs="Times New Roman" w:eastAsia="Times New Roman" w:hAnsi="Times New Roman"/>
          <w:sz w:val="14"/>
          <w:szCs w:val="14"/>
          <w:color w:val="auto"/>
        </w:rPr>
      </w:pPr>
    </w:p>
    <w:p>
      <w:pPr>
        <w:ind w:left="1148" w:hanging="284"/>
        <w:spacing w:after="0"/>
        <w:tabs>
          <w:tab w:leader="none" w:pos="1148"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Purchase Price shall be adjusted, upwards or downwards, as follows:</w:t>
      </w:r>
    </w:p>
    <w:p>
      <w:pPr>
        <w:spacing w:after="0" w:line="37" w:lineRule="exact"/>
        <w:rPr>
          <w:rFonts w:ascii="Times New Roman" w:cs="Times New Roman" w:eastAsia="Times New Roman" w:hAnsi="Times New Roman"/>
          <w:sz w:val="14"/>
          <w:szCs w:val="14"/>
          <w:color w:val="auto"/>
        </w:rPr>
      </w:pPr>
    </w:p>
    <w:p>
      <w:pPr>
        <w:jc w:val="both"/>
        <w:ind w:left="8" w:firstLine="1288"/>
        <w:spacing w:after="0" w:line="250" w:lineRule="auto"/>
        <w:tabs>
          <w:tab w:leader="none" w:pos="1590" w:val="left"/>
        </w:tabs>
        <w:numPr>
          <w:ilvl w:val="2"/>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of this Agreement, the “</w:t>
      </w:r>
      <w:r>
        <w:rPr>
          <w:rFonts w:ascii="Times New Roman" w:cs="Times New Roman" w:eastAsia="Times New Roman" w:hAnsi="Times New Roman"/>
          <w:sz w:val="14"/>
          <w:szCs w:val="14"/>
          <w:u w:val="single" w:color="auto"/>
          <w:color w:val="auto"/>
        </w:rPr>
        <w:t>Net Adjustment Amount</w:t>
      </w:r>
      <w:r>
        <w:rPr>
          <w:rFonts w:ascii="Times New Roman" w:cs="Times New Roman" w:eastAsia="Times New Roman" w:hAnsi="Times New Roman"/>
          <w:sz w:val="14"/>
          <w:szCs w:val="14"/>
          <w:color w:val="auto"/>
        </w:rPr>
        <w:t xml:space="preserve">” means an amount, which may be positive or negative, equal to (A) the Closing Net Working Capital as finally determined pursuant to this </w:t>
      </w:r>
      <w:r>
        <w:rPr>
          <w:rFonts w:ascii="Times New Roman" w:cs="Times New Roman" w:eastAsia="Times New Roman" w:hAnsi="Times New Roman"/>
          <w:sz w:val="14"/>
          <w:szCs w:val="14"/>
          <w:u w:val="single" w:color="auto"/>
          <w:color w:val="auto"/>
        </w:rPr>
        <w:t>Section 2.4 minus</w:t>
      </w:r>
      <w:r>
        <w:rPr>
          <w:rFonts w:ascii="Times New Roman" w:cs="Times New Roman" w:eastAsia="Times New Roman" w:hAnsi="Times New Roman"/>
          <w:sz w:val="14"/>
          <w:szCs w:val="14"/>
          <w:color w:val="auto"/>
        </w:rPr>
        <w:t xml:space="preserve"> the Estimated Net Working Capital,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(B) the Estimated Indebtedness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the Closing Indebtedness as finally determined pursuant to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(C) the Closing Cash as finally determined pursuant to this </w:t>
      </w:r>
      <w:r>
        <w:rPr>
          <w:rFonts w:ascii="Times New Roman" w:cs="Times New Roman" w:eastAsia="Times New Roman" w:hAnsi="Times New Roman"/>
          <w:sz w:val="14"/>
          <w:szCs w:val="14"/>
          <w:u w:val="single" w:color="auto"/>
          <w:color w:val="auto"/>
        </w:rPr>
        <w:t>Section 2.4 minus</w:t>
      </w:r>
      <w:r>
        <w:rPr>
          <w:rFonts w:ascii="Times New Roman" w:cs="Times New Roman" w:eastAsia="Times New Roman" w:hAnsi="Times New Roman"/>
          <w:sz w:val="14"/>
          <w:szCs w:val="14"/>
          <w:color w:val="auto"/>
        </w:rPr>
        <w:t xml:space="preserve"> the Estimated Cash,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(D) the Estimated Transaction Expenses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the Closing Transaction Expenses as finally determined pursuant to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w:t>
      </w:r>
    </w:p>
    <w:p>
      <w:pPr>
        <w:spacing w:after="0" w:line="4" w:lineRule="exact"/>
        <w:rPr>
          <w:rFonts w:ascii="Times New Roman" w:cs="Times New Roman" w:eastAsia="Times New Roman" w:hAnsi="Times New Roman"/>
          <w:sz w:val="14"/>
          <w:szCs w:val="14"/>
          <w:color w:val="auto"/>
        </w:rPr>
      </w:pPr>
    </w:p>
    <w:p>
      <w:pPr>
        <w:ind w:left="1648" w:hanging="352"/>
        <w:spacing w:after="0"/>
        <w:tabs>
          <w:tab w:leader="none" w:pos="1648" w:val="left"/>
        </w:tabs>
        <w:numPr>
          <w:ilvl w:val="2"/>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Net Adjustment Amount is positive, the Estimated Purchase Price shall be adjusted upwards in an amount equal to the Net Adjustment Amount. In such event,</w:t>
      </w:r>
    </w:p>
    <w:p>
      <w:pPr>
        <w:spacing w:after="0" w:line="17" w:lineRule="exact"/>
        <w:rPr>
          <w:rFonts w:ascii="Times New Roman" w:cs="Times New Roman" w:eastAsia="Times New Roman" w:hAnsi="Times New Roman"/>
          <w:sz w:val="14"/>
          <w:szCs w:val="14"/>
          <w:color w:val="auto"/>
        </w:rPr>
      </w:pPr>
    </w:p>
    <w:p>
      <w:pPr>
        <w:jc w:val="both"/>
        <w:ind w:left="8" w:hanging="8"/>
        <w:spacing w:after="0" w:line="249" w:lineRule="auto"/>
        <w:tabs>
          <w:tab w:leader="none" w:pos="24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Sellers Representative and the Buyer shall deliver joint written notice to the Escrow Agent specifying the Net Adjustment Amount, (B) the Buyer shall pay the Net Adjustment Amount to the Sellers Representative, on behalf of and for delivery by the Sellers Representative to each applicable Seller and (C) the Escrow Agent shall pay all funds in the Adjustment Escrow Fund to the Sellers Representative, on behalf of and for delivery by the Sellers Representative to each applicable Seller.</w:t>
      </w:r>
    </w:p>
    <w:p>
      <w:pPr>
        <w:spacing w:after="0" w:line="4" w:lineRule="exact"/>
        <w:rPr>
          <w:rFonts w:ascii="Times New Roman" w:cs="Times New Roman" w:eastAsia="Times New Roman" w:hAnsi="Times New Roman"/>
          <w:sz w:val="14"/>
          <w:szCs w:val="14"/>
          <w:color w:val="auto"/>
        </w:rPr>
      </w:pPr>
    </w:p>
    <w:p>
      <w:pPr>
        <w:jc w:val="both"/>
        <w:ind w:left="8" w:firstLine="1288"/>
        <w:spacing w:after="0" w:line="250" w:lineRule="auto"/>
        <w:tabs>
          <w:tab w:leader="none" w:pos="1694" w:val="left"/>
        </w:tabs>
        <w:numPr>
          <w:ilvl w:val="2"/>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Net Adjustment Amount is negative (in which case the “Net Adjustment Amount” for purposes of this clause (iii) shall be deemed to be equal to the absolute value of such amount), the Estimated Purchase Price shall be adjusted downwards in an amount equal to the Net Adjustment Amount. In such event, the Buyer and the Sellers Representative shall deliver joint written notice to the Escrow Agent specifying the Net Adjustment Amount, and the Escrow Agent shall pay the Net Adjustment Amount out of the Adjustment Escrow Fund to the Buyer in accordance with the terms of</w:t>
      </w:r>
    </w:p>
    <w:p>
      <w:pPr>
        <w:spacing w:after="0" w:line="38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308"/>
          </w:cols>
          <w:pgMar w:left="292" w:top="290" w:right="29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 xml:space="preserve">the Escrow Agreement. Notwithstanding anything in this Agreement to the contrary: (x) none of the Sellers, the Buyer, the Escrow Agent or any other Person shall have any liability for any amounts due to either the Sellers Representative (on behalf of the Sellers) or Buyer pursuant to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in excess of the Adjustment Escrow Amount; and (y) each party expressly acknowledges and agrees that such party’s sole source of recourse and recovery for such amounts due shall be the Adjustment Escrow Amount. In the event the amount of funds in the Adjustment Escrow Fund exceeds the Net Adjustment Amount, then the Escrow Agent, after paying the Net Adjustment Amount to the Buyer as provided herein, shall pay the remaining funds in the Adjustment Escrow Fund to the Sellers Representative, on behalf of and for delivery by the Sellers Representative to each applicable Seller.</w:t>
      </w:r>
    </w:p>
    <w:p>
      <w:pPr>
        <w:spacing w:after="0" w:line="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Payments in respect of </w:t>
      </w:r>
      <w:r>
        <w:rPr>
          <w:rFonts w:ascii="Times New Roman" w:cs="Times New Roman" w:eastAsia="Times New Roman" w:hAnsi="Times New Roman"/>
          <w:sz w:val="14"/>
          <w:szCs w:val="14"/>
          <w:u w:val="single" w:color="auto"/>
          <w:color w:val="auto"/>
        </w:rPr>
        <w:t>Section 2.4(f)</w:t>
      </w:r>
      <w:r>
        <w:rPr>
          <w:rFonts w:ascii="Times New Roman" w:cs="Times New Roman" w:eastAsia="Times New Roman" w:hAnsi="Times New Roman"/>
          <w:sz w:val="14"/>
          <w:szCs w:val="14"/>
          <w:color w:val="auto"/>
        </w:rPr>
        <w:t xml:space="preserve"> shall be made within three Business Days of final determination of the Net Adjustment Amount pursuant to the provisions of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by wire transfer of immediately available funds to such account or accounts as may be designated in writing by the party entitled to such payment at least two Business Days prior to such payment date. Any payment pursuant to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shall be treated as an adjustment to the Purchase Price for U.S. federal income Tax purposes.</w:t>
      </w:r>
    </w:p>
    <w:p>
      <w:pPr>
        <w:spacing w:after="0" w:line="2" w:lineRule="exact"/>
        <w:rPr>
          <w:sz w:val="20"/>
          <w:szCs w:val="20"/>
          <w:color w:val="auto"/>
        </w:rPr>
      </w:pPr>
    </w:p>
    <w:p>
      <w:pPr>
        <w:jc w:val="both"/>
        <w:ind w:firstLine="856"/>
        <w:spacing w:after="0" w:line="269" w:lineRule="auto"/>
        <w:tabs>
          <w:tab w:leader="none" w:pos="107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Payments in respect of </w:t>
      </w:r>
      <w:r>
        <w:rPr>
          <w:rFonts w:ascii="Times New Roman" w:cs="Times New Roman" w:eastAsia="Times New Roman" w:hAnsi="Times New Roman"/>
          <w:sz w:val="14"/>
          <w:szCs w:val="14"/>
          <w:u w:val="single" w:color="auto"/>
          <w:color w:val="auto"/>
        </w:rPr>
        <w:t>Section 2.4(f)</w:t>
      </w:r>
      <w:r>
        <w:rPr>
          <w:rFonts w:ascii="Times New Roman" w:cs="Times New Roman" w:eastAsia="Times New Roman" w:hAnsi="Times New Roman"/>
          <w:sz w:val="14"/>
          <w:szCs w:val="14"/>
          <w:color w:val="auto"/>
        </w:rPr>
        <w:t xml:space="preserve"> shall be made within three Business Days of final determination of the Net Adjustment Amount pursuant to the provisions of this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2.4</w:t>
      </w:r>
      <w:r>
        <w:rPr>
          <w:rFonts w:ascii="Times New Roman" w:cs="Times New Roman" w:eastAsia="Times New Roman" w:hAnsi="Times New Roman"/>
          <w:sz w:val="14"/>
          <w:szCs w:val="14"/>
          <w:color w:val="auto"/>
        </w:rPr>
        <w:t xml:space="preserve"> by wire transfer of immediately available funds to such account or accounts as may be designated in writing by the party entitled to such payment at least two Business Days prior to such payment date.</w:t>
      </w:r>
    </w:p>
    <w:p>
      <w:pPr>
        <w:spacing w:after="0" w:line="161" w:lineRule="exact"/>
        <w:rPr>
          <w:rFonts w:ascii="Times New Roman" w:cs="Times New Roman" w:eastAsia="Times New Roman" w:hAnsi="Times New Roman"/>
          <w:sz w:val="14"/>
          <w:szCs w:val="14"/>
          <w:color w:val="auto"/>
        </w:rPr>
      </w:pPr>
    </w:p>
    <w:p>
      <w:pPr>
        <w:ind w:left="1060" w:hanging="204"/>
        <w:spacing w:after="0"/>
        <w:tabs>
          <w:tab w:leader="none" w:pos="10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payment pursuant to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shall be treated as an adjustment to the Purchase Price for U.S. federal income Tax purposes.</w:t>
      </w:r>
    </w:p>
    <w:p>
      <w:pPr>
        <w:spacing w:after="0" w:line="37" w:lineRule="exact"/>
        <w:rPr>
          <w:sz w:val="20"/>
          <w:szCs w:val="20"/>
          <w:color w:val="auto"/>
        </w:rPr>
      </w:pPr>
    </w:p>
    <w:p>
      <w:pPr>
        <w:jc w:val="both"/>
        <w:ind w:firstLine="432"/>
        <w:spacing w:after="0" w:line="163" w:lineRule="exact"/>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Purchase Price Allocation.</w:t>
      </w:r>
      <w:r>
        <w:rPr>
          <w:rFonts w:ascii="Times New Roman" w:cs="Times New Roman" w:eastAsia="Times New Roman" w:hAnsi="Times New Roman"/>
          <w:sz w:val="14"/>
          <w:szCs w:val="14"/>
          <w:color w:val="auto"/>
        </w:rPr>
        <w:t xml:space="preserve"> The Buyer shall prepare and provide to the Sellers Representative within 60 days after all adjustments to the Purchase Price pursuant to Section 2.4 have been completed in accordance with the terms thereof, a schedule (the “Purchase Price Allocation Schedule”) allocating the amounts paid and the liabilities assumed in connection with the transactions contemplated by this Agreement and the Royalty Agreement, adjusted as necessary to determine the purchase price of the assets that the Buyer is treated as purchasing hereunder for U.S. federal income tax purposes (the “Tax Allocation Purchase Price”), among such assets; provided however, the Buyer acknowledges and agrees that the Purchase Price Allocation Schedule shall allocate $40 million of the Purchase Price to property, plant and equipment for tax reporting purposes. For the avoidance of doubt, the Tax Allocation Purchase Price shall include all payments to be made under the Royalty Agreement, which shall be treated as deferred contingent consideration for the Equity Interests. The Purchase Price Allocation Schedule shall be prepared in accordance with the general principles of Section 1060 of the Code and the applicable Treasury Regulations or any successor provision, and the Purchase Price Allocation Schedule shall be updated by the Buyer from time to time in accordance with Treasury Regulations Sections 1.1060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1(c)(2) and 1.338-7 to reflect payments made under the Royalty Agreement. Unless the Sellers Representative objects to the Purchase Price Allocation Schedule within 30 days after receipt thereof, such Schedule shall become final. If the Sellers Representative objects to the Purchase Price Allocation Schedule within 30 days of receipt, then the Buyer and the Sellers Representative shall use commercially reasonable efforts to agree, within 30 days of the Sellers Representative’s objection to the Purchase Price Allocation Schedule, to an allocation of the Tax Allocation Purchase Price among the purchased assets hereunder for federal income tax purposes that is consistent with the allocation methodology provided by Section 1060 of the Code and the applicable Treasury Regulations (the “Allocation”). If the Buyer and the Sellers Representative cannot agree on an appropriate Allocation within the time period specified in the preceding sentence, then the Buyer and the Sellers shall not be bound by the Allocation, and each party may adopt its own position regarding the allocation of the Purchase Price (and any other item that are treated as consideration for U.S. federal income tax purposes) among such assets based on its own determination and in its sole discretion. If, however, the Allocation is agreed to by the Buyer and the Sellers Representative (including, for the avoidance of doubt, if the Sellers Representative does not object to the Purchase Price Allocation Schedule delivered Buyer within the period specified in this Section 2.5), then the Buyer and the Sellers agree to report based on the Allocation (as updated by the Buyer from time to time to reflect payments made under the Royalty Agreement) and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300"/>
          </w:cols>
          <w:pgMar w:left="300" w:top="290" w:right="29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shall file all Tax Returns that are required to be filed in connection with transactions contemplated by this Agreement and the Royalty Agreement in a manner consistent therewith, and neither the Buyer nor the Sellers shall take any position (whether in Tax proceedings, on Tax Returns, or otherwise) that is inconsistent with such allocation statement except as may be subsequently adjusted pursuant to an audit by IRS or by court decision. Each party shall promptly notify the other party upon receipt of notice of any pending or threatened Tax, audit, claim, or similar proceeding related to an allocation made pursuant to this Section 2.5.</w:t>
      </w:r>
    </w:p>
    <w:p>
      <w:pPr>
        <w:spacing w:after="0" w:line="2"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2.6</w:t>
      </w:r>
      <w:r>
        <w:rPr>
          <w:sz w:val="20"/>
          <w:szCs w:val="20"/>
          <w:color w:val="auto"/>
        </w:rPr>
        <w:tab/>
      </w:r>
      <w:r>
        <w:rPr>
          <w:rFonts w:ascii="Times New Roman" w:cs="Times New Roman" w:eastAsia="Times New Roman" w:hAnsi="Times New Roman"/>
          <w:sz w:val="14"/>
          <w:szCs w:val="14"/>
          <w:u w:val="single" w:color="auto"/>
          <w:color w:val="auto"/>
        </w:rPr>
        <w:t>Sellers Representative</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7" w:lineRule="exact"/>
        <w:rPr>
          <w:sz w:val="20"/>
          <w:szCs w:val="20"/>
          <w:color w:val="auto"/>
        </w:rPr>
      </w:pPr>
    </w:p>
    <w:p>
      <w:pPr>
        <w:jc w:val="both"/>
        <w:ind w:firstLine="856"/>
        <w:spacing w:after="0" w:line="241" w:lineRule="auto"/>
        <w:tabs>
          <w:tab w:leader="none" w:pos="120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Seller, by his, her or its execution of this Agreement, hereby consents to the terms of this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xml:space="preserve"> and to the appointment of Mule Deer Sky LLC as such Seller’s representative and attorney-in-fact, with full power of substitution to act on behalf of the Sellers to the extent and in the manner set forth in this Agreement and the Escrow Agreement. All decisions, actions, consents and instructions by the Sellers Representative with respect to this Agreement and the Ancillary Agreements and the transactions contemplated hereby and thereby, including all decisions, actions, consents and instructions relating to the defense or settlement of any claims for indemnification, and the Sellers Representative’s allocation of the Aggregate Closing Consideration or any other payment made by the Buyer hereunder among the Sellers, shall be binding upon all Sellers, and no Seller shall have the right to object to, protest or otherwise contest any such decision, action, consent or instruction. The Buyer shall be entitled to rely on any decision, action, consent or instruction of the Sellers Representative in connection with this Agreement and the Ancillary Agreements and the transactions contemplated hereby and thereby as being the decision, action, consent or instruction of the Sellers, and each of the Buyer and its Affiliates is hereby relieved from any liability to any Person for acts done in accordance with any such decision, act, consent or instruction. The provisions of this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including the power of attorney granted hereby, are independent and severable, are irrevocable and coupled with an interest and shall not be terminated by any act of any one or more Sellers, or by operation of Law, whether by death or other event.</w:t>
      </w:r>
    </w:p>
    <w:p>
      <w:pPr>
        <w:spacing w:after="0" w:line="176" w:lineRule="exact"/>
        <w:rPr>
          <w:rFonts w:ascii="Times New Roman" w:cs="Times New Roman" w:eastAsia="Times New Roman" w:hAnsi="Times New Roman"/>
          <w:sz w:val="14"/>
          <w:szCs w:val="14"/>
          <w:color w:val="auto"/>
        </w:rPr>
      </w:pPr>
    </w:p>
    <w:p>
      <w:pPr>
        <w:jc w:val="both"/>
        <w:ind w:firstLine="856"/>
        <w:spacing w:after="0" w:line="254" w:lineRule="auto"/>
        <w:tabs>
          <w:tab w:leader="none" w:pos="117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Sellers Representative becomes unable to perform its responsibilities hereunder or resigns from such position, the Sellers (acting by the vote of the Sellers who immediately prior to the Closing held a projected interest in the Purchase Price equal to or greater than a majority of the projected Purchase Price) shall select another representative to fill the vacancy of the Sellers Representative, and such substituted representative shall be deemed to be the Sellers Representative for all purposes under this Agreement and the Ancillary Agreements.</w:t>
      </w:r>
    </w:p>
    <w:p>
      <w:pPr>
        <w:spacing w:after="0" w:line="1" w:lineRule="exact"/>
        <w:rPr>
          <w:rFonts w:ascii="Times New Roman" w:cs="Times New Roman" w:eastAsia="Times New Roman" w:hAnsi="Times New Roman"/>
          <w:sz w:val="14"/>
          <w:szCs w:val="14"/>
          <w:color w:val="auto"/>
        </w:rPr>
      </w:pPr>
    </w:p>
    <w:p>
      <w:pPr>
        <w:jc w:val="both"/>
        <w:ind w:firstLine="856"/>
        <w:spacing w:after="0" w:line="247" w:lineRule="auto"/>
        <w:tabs>
          <w:tab w:leader="none" w:pos="119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Sellers Representative shall not be liable for any act done or omitted hereunder as the Sellers Representative while acting in good faith and in the exercise of reasonable judgment. The Sellers shall, severally (in proportions based on each Seller’s Pro Rata Share), indemnify the Sellers Representative and hold the Sellers Representative harmless against any loss, liability or expense incurred without gross negligence, bad faith or willful misconduct on the part of the Sellers Representative and arising out of or in connection with the acceptance or administration of the Sellers Representative’s duties under this Agreement and the Ancillary Agreements, including the reasonable fees and expenses of any legal counsel retained by the Sellers Representative. This right of indemnification shall survive the termination of this Agreement. Any Person dealing with the Sellers Representative, including the Buyer and its Affiliates, is entitled to rely on the actions taken by, and consents and approvals given by, the Sellers Representative without the need for further investigation, and upon the communications of the Sellers Representative relating to the foregoing as the communications of the Sellers. A Person shall be entitled to rely on the Sellers Representative’s actions, consents, approvals and communications notwithstanding any knowledge of the relying Person. No Person shall have any liability for relying on the Sellers Representative in the foregoing manner.</w:t>
      </w:r>
    </w:p>
    <w:p>
      <w:pPr>
        <w:spacing w:after="0" w:line="6" w:lineRule="exact"/>
        <w:rPr>
          <w:rFonts w:ascii="Times New Roman" w:cs="Times New Roman" w:eastAsia="Times New Roman" w:hAnsi="Times New Roman"/>
          <w:sz w:val="14"/>
          <w:szCs w:val="14"/>
          <w:color w:val="auto"/>
        </w:rPr>
      </w:pPr>
    </w:p>
    <w:p>
      <w:pPr>
        <w:jc w:val="both"/>
        <w:ind w:right="20" w:firstLine="856"/>
        <w:spacing w:after="0" w:line="255" w:lineRule="auto"/>
        <w:tabs>
          <w:tab w:leader="none" w:pos="117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Buyer and its Affiliates shall be entitled to unconditionally assume that any action taken or omitted, or any document executed by, Mule Deer Sky LLC, purporting to act as the Sellers Representative under or pursuant to this Agreement or the Ancillary Agreements or in connection with any of the transactions contemplated hereby, has been unconditionally authorized by Sellers to be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300"/>
          </w:cols>
          <w:pgMar w:left="300" w:top="290" w:right="29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taken, omitted to be taken, or executed on their behalf so that they will be legally bound thereby, and no Seller shall institute any claim, lawsuit, arbitration or other proceeding against the Buyer or any of its Affiliates alleging that Mule Deer Sky LLC did not have the authority to act as the Sellers Representative on behalf of Sellers in connection with any such action, omission or execution. No modification or revocation of the power of attorney granted by the Sellers herein to Mule Deer Sky LLC to serve as the Sellers Representative shall be effective as against the Buyer or any of its Affiliates until it has received a document signed by all Sellers effecting said modification or revocation. The Buyer and its Affiliates are hereby relieved from any liability to any Person for any acts done by the Sellers Representative and any acts done by the Buyer in accordance with any decision, act, consent or instruction of the Sellers Representative.</w:t>
      </w:r>
    </w:p>
    <w:p>
      <w:pPr>
        <w:spacing w:after="0" w:line="4" w:lineRule="exact"/>
        <w:rPr>
          <w:sz w:val="20"/>
          <w:szCs w:val="20"/>
          <w:color w:val="auto"/>
        </w:rPr>
      </w:pPr>
    </w:p>
    <w:p>
      <w:pPr>
        <w:jc w:val="both"/>
        <w:ind w:firstLine="432"/>
        <w:spacing w:after="0" w:line="248" w:lineRule="auto"/>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Withholding.</w:t>
      </w:r>
      <w:r>
        <w:rPr>
          <w:rFonts w:ascii="Times New Roman" w:cs="Times New Roman" w:eastAsia="Times New Roman" w:hAnsi="Times New Roman"/>
          <w:sz w:val="14"/>
          <w:szCs w:val="14"/>
          <w:color w:val="auto"/>
        </w:rPr>
        <w:t xml:space="preserve"> The Buyer shall be entitled to deduct and withhold from any consideration otherwise payable to any Person pursuant to this Agreement such amounts as it determines it is required to deduct and withhold with respect to the making of such payment under the Code or any provision of state, local or non-U.S. Tax Law. Any amounts that are so deducted and withheld shall be paid to the relevant Governmental Authority and shall be treated for all purposes of this Agreement as having been paid to the applicable Seller. Buyer shall provide to any applicable Seller written evidence for the payment or deposit of such Taxes on behalf of such Seller with the appropriate Government Authority as soon as practical but no later than the date on which such Taxes are due.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ARTICLES III</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REPRESENTATIONS AND WARRANTIES OF THE SELLERS</w:t>
      </w:r>
    </w:p>
    <w:p>
      <w:pPr>
        <w:spacing w:after="0" w:line="237" w:lineRule="exact"/>
        <w:rPr>
          <w:sz w:val="20"/>
          <w:szCs w:val="20"/>
          <w:color w:val="auto"/>
        </w:rPr>
      </w:pPr>
    </w:p>
    <w:p>
      <w:pPr>
        <w:jc w:val="both"/>
        <w:ind w:right="20" w:firstLine="432"/>
        <w:spacing w:after="0" w:line="259" w:lineRule="auto"/>
        <w:rPr>
          <w:sz w:val="20"/>
          <w:szCs w:val="20"/>
          <w:color w:val="auto"/>
        </w:rPr>
      </w:pPr>
      <w:r>
        <w:rPr>
          <w:rFonts w:ascii="Times New Roman" w:cs="Times New Roman" w:eastAsia="Times New Roman" w:hAnsi="Times New Roman"/>
          <w:sz w:val="14"/>
          <w:szCs w:val="14"/>
          <w:color w:val="auto"/>
        </w:rPr>
        <w:t>Except as set forth in the corresponding sections or subsections of the Disclosure Schedules delivered herewith (collectively, the “</w:t>
      </w:r>
      <w:r>
        <w:rPr>
          <w:rFonts w:ascii="Times New Roman" w:cs="Times New Roman" w:eastAsia="Times New Roman" w:hAnsi="Times New Roman"/>
          <w:sz w:val="14"/>
          <w:szCs w:val="14"/>
          <w:u w:val="single" w:color="auto"/>
          <w:color w:val="auto"/>
        </w:rPr>
        <w:t>Disclosure Schedules</w:t>
      </w:r>
      <w:r>
        <w:rPr>
          <w:rFonts w:ascii="Times New Roman" w:cs="Times New Roman" w:eastAsia="Times New Roman" w:hAnsi="Times New Roman"/>
          <w:sz w:val="14"/>
          <w:szCs w:val="14"/>
          <w:color w:val="auto"/>
        </w:rPr>
        <w:t>”), each Seller, severally and not jointly, hereby represents and warrants to the Buyer as of the date hereof (except to the extent such representations and warranties expressly relate to an earlier date, in which case, as of such earlier date) as follows:</w:t>
      </w:r>
    </w:p>
    <w:p>
      <w:pPr>
        <w:spacing w:after="0" w:line="1"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Organization and Qualification.</w:t>
      </w:r>
      <w:r>
        <w:rPr>
          <w:rFonts w:ascii="Times New Roman" w:cs="Times New Roman" w:eastAsia="Times New Roman" w:hAnsi="Times New Roman"/>
          <w:sz w:val="14"/>
          <w:szCs w:val="14"/>
          <w:color w:val="auto"/>
        </w:rPr>
        <w:t xml:space="preserve"> If such Seller is a legal entity, such Seller is duly organized, validly existing and in good standing under the Laws of its jurisdiction of organization and has full corporate, limited liability company or limited partnership (as applicable) power and authority to own and dispose of the Equity Interests owned by it.</w:t>
      </w:r>
    </w:p>
    <w:p>
      <w:pPr>
        <w:jc w:val="both"/>
        <w:ind w:firstLine="432"/>
        <w:spacing w:after="0" w:line="244" w:lineRule="auto"/>
        <w:rPr>
          <w:sz w:val="20"/>
          <w:szCs w:val="20"/>
          <w:color w:val="auto"/>
        </w:rPr>
      </w:pPr>
      <w:r>
        <w:rPr>
          <w:rFonts w:ascii="Times New Roman" w:cs="Times New Roman" w:eastAsia="Times New Roman" w:hAnsi="Times New Roman"/>
          <w:sz w:val="14"/>
          <w:szCs w:val="14"/>
          <w:color w:val="auto"/>
        </w:rPr>
        <w:t>Section 3.2 Authority. If such Seller is a legal entity, such Seller has full corporate, limited liability company or limited partnership (as applicable) power and authority to execute and deliver this Agreement and each of the Ancillary Agreements to which it is a party, to perform its obligations hereunder and thereunder and to consummate the transactions contemplated hereby and thereby. If such Seller is a natural person, such Seller has legal capacity to execute and deliver this Agreement and each Ancillary Agreement to which it is a party, to perform its obligations hereunder and thereunder and to consummate the transactions contemplated hereby and thereby. The execution, delivery and performance by such Seller of this Agreement and each of the Ancillary Agreements to which it is a party and the consummation by such Seller of the transactions contemplated hereby and thereby have been duly and validly authorized by all necessary corporate, limited liability company, limited partnership or spousal or community property (as applicable) action. Each of this Agreement and the Ancillary Agreements to which such Seller is a party has been duly executed and delivered by such Seller and, assuming due execution and delivery by each of the other parties hereto and thereto, each of this Agreement and such Ancillary Agreements constitutes the legal, valid and binding obligations of such Seller, enforceable against such Seller in accordance with their respective terms (except to the extent that enforceability may be limited by applicable bankruptcy, insolvency, moratorium, reorganization or similar Laws affecting the enforcement of creditors’ rights generally or by general principles of equity).</w:t>
      </w:r>
    </w:p>
    <w:p>
      <w:pPr>
        <w:spacing w:after="0" w:line="12"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3.3</w:t>
      </w:r>
      <w:r>
        <w:rPr>
          <w:sz w:val="20"/>
          <w:szCs w:val="20"/>
          <w:color w:val="auto"/>
        </w:rPr>
        <w:tab/>
      </w:r>
      <w:r>
        <w:rPr>
          <w:rFonts w:ascii="Times New Roman" w:cs="Times New Roman" w:eastAsia="Times New Roman" w:hAnsi="Times New Roman"/>
          <w:sz w:val="14"/>
          <w:szCs w:val="14"/>
          <w:u w:val="single" w:color="auto"/>
          <w:color w:val="auto"/>
        </w:rPr>
        <w:t>No Conflict; Required Filings and Consents.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300"/>
          </w:cols>
          <w:pgMar w:left="300" w:top="290" w:right="29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856"/>
        <w:spacing w:after="0" w:line="268" w:lineRule="auto"/>
        <w:tabs>
          <w:tab w:leader="none" w:pos="106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performance by such Seller of this Agreement and each of the Ancillary Agreements to which such Seller is a party, and the consummation of the transactions contemplated hereby and thereby do not and will not:</w:t>
      </w:r>
    </w:p>
    <w:p>
      <w:pPr>
        <w:ind w:left="1560" w:hanging="272"/>
        <w:spacing w:after="0"/>
        <w:tabs>
          <w:tab w:leader="none" w:pos="156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Seller is a legal entity, conflict with or violate the organizational documents of such Seller;</w:t>
      </w:r>
    </w:p>
    <w:p>
      <w:pPr>
        <w:spacing w:after="0" w:line="37" w:lineRule="exact"/>
        <w:rPr>
          <w:rFonts w:ascii="Times New Roman" w:cs="Times New Roman" w:eastAsia="Times New Roman" w:hAnsi="Times New Roman"/>
          <w:sz w:val="14"/>
          <w:szCs w:val="14"/>
          <w:color w:val="auto"/>
        </w:rPr>
      </w:pPr>
    </w:p>
    <w:p>
      <w:pPr>
        <w:ind w:left="1600" w:hanging="312"/>
        <w:spacing w:after="0"/>
        <w:tabs>
          <w:tab w:leader="none" w:pos="160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conflict with or violate any Law applicable to such Seller or by which the Equity Interests owned by such Seller are bound or affected; or</w:t>
      </w:r>
    </w:p>
    <w:p>
      <w:pPr>
        <w:spacing w:after="0" w:line="37" w:lineRule="exact"/>
        <w:rPr>
          <w:rFonts w:ascii="Times New Roman" w:cs="Times New Roman" w:eastAsia="Times New Roman" w:hAnsi="Times New Roman"/>
          <w:sz w:val="14"/>
          <w:szCs w:val="14"/>
          <w:color w:val="auto"/>
        </w:rPr>
      </w:pPr>
    </w:p>
    <w:p>
      <w:pPr>
        <w:jc w:val="both"/>
        <w:ind w:left="1280" w:firstLine="8"/>
        <w:spacing w:after="0" w:line="246" w:lineRule="auto"/>
        <w:tabs>
          <w:tab w:leader="none" w:pos="1657"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conflict with or violate, result in any breach of, constitute a default (or an event that, with notice or lapse of time or both, would become a default) under, require any consent of or notice to any Person pursuant to, give to others any right of termination, amendment, modification, acceleration or cancellation of, allow the imposition of any fees or penalties under, require the offering or making of any payment or redemption under, give rise to any increased, guaranteed, accelerated or additional rights or entitlements of any Person under, or otherwise adversely affect any rights of such Seller under, or result in the creation of any Encumbrance on any of the Equity Interests pursuant to, any Contract to which such Seller is bound, except, in the case of this clause (iii), for any such breaches, defaults or other occurrences that would not, individually or in the aggregate, materially impair the ability of such Seller to consummate, or prevent or materially delay, any of the transactions contemplated by this Agreement or the Ancillary Agreements or would reasonably be expected to do so.</w:t>
      </w:r>
    </w:p>
    <w:p>
      <w:pPr>
        <w:spacing w:after="0" w:line="5" w:lineRule="exact"/>
        <w:rPr>
          <w:rFonts w:ascii="Times New Roman" w:cs="Times New Roman" w:eastAsia="Times New Roman" w:hAnsi="Times New Roman"/>
          <w:sz w:val="14"/>
          <w:szCs w:val="14"/>
          <w:color w:val="auto"/>
        </w:rPr>
      </w:pPr>
    </w:p>
    <w:p>
      <w:pPr>
        <w:jc w:val="both"/>
        <w:ind w:right="20" w:firstLine="856"/>
        <w:spacing w:after="0" w:line="259" w:lineRule="auto"/>
        <w:tabs>
          <w:tab w:leader="none" w:pos="1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Seller is not required to file, seek or obtain any notice, authorization, approval, order, permit or consent of or with any Governmental Authority in connection with the execution, delivery and performance by such Seller of this Agreement and each of the Ancillary Agreements to which such Seller is a party or the consummation of the transactions contemplated hereby or thereby except for such filings as may be required by any applicable federal or state securities or “blue sky” Laws.</w:t>
      </w:r>
    </w:p>
    <w:p>
      <w:pPr>
        <w:spacing w:after="0" w:line="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Equity Interests.</w:t>
      </w:r>
      <w:r>
        <w:rPr>
          <w:rFonts w:ascii="Times New Roman" w:cs="Times New Roman" w:eastAsia="Times New Roman" w:hAnsi="Times New Roman"/>
          <w:sz w:val="14"/>
          <w:szCs w:val="14"/>
          <w:color w:val="auto"/>
        </w:rPr>
        <w:t>Such Seller is the record and beneficial owner of the Equity Interests listed as owned by such Seller on Section 3.4 of the Disclosure Schedules, free and clear of any Encumbrance. Such Seller has the right, authority and power to sell, assign and transfer such Equity Interests to the Buyer. Upon delivery to the Buyer of such Equity Interests at the Closing and the Buyer’s payment of the Purchase Price, the Buyer shall acquire good, valid and marketable title to such Equity Interests, free and clear of any Encumbrance (other than those arising under securities Laws or created by the Buyer or any of its Affiliates).</w:t>
      </w:r>
    </w:p>
    <w:p>
      <w:pPr>
        <w:spacing w:after="0" w:line="2" w:lineRule="exact"/>
        <w:rPr>
          <w:sz w:val="20"/>
          <w:szCs w:val="20"/>
          <w:color w:val="auto"/>
        </w:rPr>
      </w:pPr>
    </w:p>
    <w:p>
      <w:pPr>
        <w:jc w:val="both"/>
        <w:ind w:firstLine="432"/>
        <w:spacing w:after="0" w:line="248" w:lineRule="auto"/>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Acquisition of Buyer Common Shares.</w:t>
      </w:r>
      <w:r>
        <w:rPr>
          <w:rFonts w:ascii="Times New Roman" w:cs="Times New Roman" w:eastAsia="Times New Roman" w:hAnsi="Times New Roman"/>
          <w:sz w:val="14"/>
          <w:szCs w:val="14"/>
          <w:color w:val="auto"/>
        </w:rPr>
        <w:t xml:space="preserve"> Such Seller is acquiring the Buyer Common Shares for its own account, for investment purposes only and not with a view to the distribution of such Buyer Common Shares. Such Seller understands that the offering and issuance of the Buyer Common Shares hereunder has not been registered under the Securities Act of 1933, as amended (the “Securities Act”), and that the Buyer Common Shares cannot be offered or re-sold until such offer and sale is subsequently registered under the Securities Act or unless an exemption from such registration is available to such Seller. Such Seller is an “accredited investor” as that term is defined in Rule 501(a) promulgated under the Securities Act. Such Seller acknowledges that the Buyer Common Shares issued hereunder will bear the following or substantially similar legend thereon:</w:t>
      </w:r>
    </w:p>
    <w:p>
      <w:pPr>
        <w:spacing w:after="0" w:line="5" w:lineRule="exact"/>
        <w:rPr>
          <w:sz w:val="20"/>
          <w:szCs w:val="20"/>
          <w:color w:val="auto"/>
        </w:rPr>
      </w:pPr>
    </w:p>
    <w:p>
      <w:pPr>
        <w:jc w:val="both"/>
        <w:ind w:left="860" w:right="820"/>
        <w:spacing w:after="0" w:line="261" w:lineRule="auto"/>
        <w:rPr>
          <w:sz w:val="20"/>
          <w:szCs w:val="20"/>
          <w:color w:val="auto"/>
        </w:rPr>
      </w:pPr>
      <w:r>
        <w:rPr>
          <w:rFonts w:ascii="Times New Roman" w:cs="Times New Roman" w:eastAsia="Times New Roman" w:hAnsi="Times New Roman"/>
          <w:sz w:val="14"/>
          <w:szCs w:val="14"/>
          <w:color w:val="auto"/>
        </w:rPr>
        <w:t>“The shares represented by this certificate have not been registered under the Securities Act of 1933, as amended, or any state securities laws. The shares have been acquired for investment and may not be sold or transferred in the absence of an effective registration statement for the shares under such Act unless, in the opinion of counsel satisfactory to the issuer, registration is not required under such Act or any applicable state securities 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REPRESENTATIONS AND WARRANTIES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300"/>
          </w:cols>
          <w:pgMar w:left="300" w:top="290" w:right="29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Except as set forth in the Disclosure Schedules, each Seller, severally and not jointly, hereby represents and warrants to the Buyer as of the date hereof (except to the extent such representations and warranties expressly relate to an earlier date, in which case, as of such earlier date) as follows:</w:t>
      </w: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4.1</w:t>
      </w:r>
      <w:r>
        <w:rPr>
          <w:sz w:val="20"/>
          <w:szCs w:val="20"/>
          <w:color w:val="auto"/>
        </w:rPr>
        <w:tab/>
      </w:r>
      <w:r>
        <w:rPr>
          <w:rFonts w:ascii="Times New Roman" w:cs="Times New Roman" w:eastAsia="Times New Roman" w:hAnsi="Times New Roman"/>
          <w:sz w:val="14"/>
          <w:szCs w:val="14"/>
          <w:u w:val="single" w:color="auto"/>
          <w:color w:val="auto"/>
        </w:rPr>
        <w:t>Organization and Qualification</w:t>
      </w:r>
    </w:p>
    <w:p>
      <w:pPr>
        <w:spacing w:after="0" w:line="37" w:lineRule="exact"/>
        <w:rPr>
          <w:sz w:val="20"/>
          <w:szCs w:val="20"/>
          <w:color w:val="auto"/>
        </w:rPr>
      </w:pPr>
    </w:p>
    <w:p>
      <w:pPr>
        <w:jc w:val="both"/>
        <w:ind w:firstLine="856"/>
        <w:spacing w:after="0" w:line="249" w:lineRule="auto"/>
        <w:tabs>
          <w:tab w:leader="none" w:pos="12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Subsidiaries is duly organized, validly existing and in good standing under the Laws of its jurisdiction of organization, and has full power and authority to own, lease and operate its respective properties and assets and to carry on its business as now conducted and as currently proposed to be conducted. Each of the Company and its Subsidiaries is duly qualified or licensed to do business, and is in good standing, in each jurisdiction where the character of the properties and assets occupied, owned, leased or operated by it or the nature of its business makes such qualification or licensing necessary, except for any such failures to be so qualified or licensed and in good standing that, individually or in the aggregate, have not had and would not reasonably be expected to be material to the Company and its Subsidiaries, taken as a whole.</w:t>
      </w:r>
    </w:p>
    <w:p>
      <w:pPr>
        <w:spacing w:after="0" w:line="1" w:lineRule="exact"/>
        <w:rPr>
          <w:rFonts w:ascii="Times New Roman" w:cs="Times New Roman" w:eastAsia="Times New Roman" w:hAnsi="Times New Roman"/>
          <w:sz w:val="14"/>
          <w:szCs w:val="14"/>
          <w:color w:val="auto"/>
        </w:rPr>
      </w:pPr>
    </w:p>
    <w:p>
      <w:pPr>
        <w:jc w:val="both"/>
        <w:ind w:firstLine="856"/>
        <w:spacing w:after="0" w:line="254" w:lineRule="auto"/>
        <w:tabs>
          <w:tab w:leader="none" w:pos="119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furnished to the Buyer a complete and correct copy of the certificate of formation or equivalent organizational documents, each as amended to date, of the Company and each of its Subsidiaries. Such documents are in full force and effect and neither the Company nor any of its Subsidiaries is in violation of any of the applicable provisions thereof in any material respect. The transfer books and minute books of the Company and its Subsidiaries have been made available for inspection by the Buyer prior to the date hereof and are true and complete in all material respects.</w:t>
      </w:r>
    </w:p>
    <w:p>
      <w:pPr>
        <w:spacing w:after="0" w:line="2"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4.2  </w:t>
      </w:r>
      <w:r>
        <w:rPr>
          <w:rFonts w:ascii="Times New Roman" w:cs="Times New Roman" w:eastAsia="Times New Roman" w:hAnsi="Times New Roman"/>
          <w:sz w:val="14"/>
          <w:szCs w:val="14"/>
          <w:u w:val="single" w:color="auto"/>
          <w:color w:val="auto"/>
        </w:rPr>
        <w:t>Authority.</w:t>
      </w:r>
    </w:p>
    <w:p>
      <w:pPr>
        <w:spacing w:after="0" w:line="37" w:lineRule="exact"/>
        <w:rPr>
          <w:sz w:val="20"/>
          <w:szCs w:val="20"/>
          <w:color w:val="auto"/>
        </w:rPr>
      </w:pPr>
    </w:p>
    <w:p>
      <w:pPr>
        <w:jc w:val="both"/>
        <w:ind w:firstLine="856"/>
        <w:spacing w:after="0" w:line="246" w:lineRule="auto"/>
        <w:tabs>
          <w:tab w:leader="none" w:pos="120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full limited liability company power and authority to execute and deliver this Agreement and each of the Ancillary Agreements to which it is a party, to perform its obligations hereunder and thereunder and to consummate the transactions contemplated hereby and thereby. The execution, delivery and performance by the Company of this Agreement and each of the Ancillary Agreements to which it is a party and the consummation by the Company of the transactions contemplated hereby and thereby have been duly and validly authorized by all necessary limited liability company action. This Agreement and each of the Ancillary Agreements to which the Company is a party have been duly executed and delivered by the Company and, assuming due execution and delivery by each of the other parties hereto and thereto, each of this Agreement and such Ancillary Agreements constitutes the legal, valid and binding obligations of the Company, enforceable against the Company in accordance with their respective terms (except to the extent that enforceability may be limited by applicable bankruptcy, insolvency, moratorium, reorganization or similar Laws affecting the enforcement of creditors’ rights generally or by general principles of equity).</w:t>
      </w:r>
    </w:p>
    <w:p>
      <w:pPr>
        <w:spacing w:after="0" w:line="5" w:lineRule="exact"/>
        <w:rPr>
          <w:rFonts w:ascii="Times New Roman" w:cs="Times New Roman" w:eastAsia="Times New Roman" w:hAnsi="Times New Roman"/>
          <w:sz w:val="14"/>
          <w:szCs w:val="14"/>
          <w:color w:val="auto"/>
        </w:rPr>
      </w:pPr>
    </w:p>
    <w:p>
      <w:pPr>
        <w:ind w:left="860" w:right="20" w:hanging="4"/>
        <w:spacing w:after="0" w:line="268" w:lineRule="auto"/>
        <w:tabs>
          <w:tab w:leader="none" w:pos="120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vote or approval by, or other action of, the holders of any equity interests of the Company is necessary under any Law or Contract in connection with the execution and delivery of this Agreement or any Ancillary Agreement by the Company or the consummation of transactions contemplated hereby or thereby.</w:t>
      </w: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4.3</w:t>
      </w:r>
      <w:r>
        <w:rPr>
          <w:sz w:val="20"/>
          <w:szCs w:val="20"/>
          <w:color w:val="auto"/>
        </w:rPr>
        <w:tab/>
      </w:r>
      <w:r>
        <w:rPr>
          <w:rFonts w:ascii="Times New Roman" w:cs="Times New Roman" w:eastAsia="Times New Roman" w:hAnsi="Times New Roman"/>
          <w:sz w:val="14"/>
          <w:szCs w:val="14"/>
          <w:u w:val="single" w:color="auto"/>
          <w:color w:val="auto"/>
        </w:rPr>
        <w:t>No Conflict; Required Filings and Consents.</w:t>
      </w:r>
    </w:p>
    <w:p>
      <w:pPr>
        <w:spacing w:after="0" w:line="37" w:lineRule="exact"/>
        <w:rPr>
          <w:sz w:val="20"/>
          <w:szCs w:val="20"/>
          <w:color w:val="auto"/>
        </w:rPr>
      </w:pPr>
    </w:p>
    <w:p>
      <w:pPr>
        <w:ind w:firstLine="856"/>
        <w:spacing w:after="0" w:line="268" w:lineRule="auto"/>
        <w:tabs>
          <w:tab w:leader="none" w:pos="120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xml:space="preserve"> of the Disclosure Schedules, the execution, delivery and performance by the Company and the Sellers of this Agreement and each of the Ancillary Agreements to which the Company is or the Sellers are a party, and the consummation of the transactions contemplated hereby and thereby, do not and will not:</w:t>
      </w:r>
    </w:p>
    <w:p>
      <w:pPr>
        <w:ind w:left="1560" w:hanging="272"/>
        <w:spacing w:after="0"/>
        <w:tabs>
          <w:tab w:leader="none" w:pos="15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conflict with or violate the certificate of formation or equivalent organizational documents of the Company or any of its Subsidiaries;</w:t>
      </w:r>
    </w:p>
    <w:p>
      <w:pPr>
        <w:spacing w:after="0" w:line="37" w:lineRule="exact"/>
        <w:rPr>
          <w:rFonts w:ascii="Times New Roman" w:cs="Times New Roman" w:eastAsia="Times New Roman" w:hAnsi="Times New Roman"/>
          <w:sz w:val="14"/>
          <w:szCs w:val="14"/>
          <w:color w:val="auto"/>
        </w:rPr>
      </w:pPr>
    </w:p>
    <w:p>
      <w:pPr>
        <w:ind w:left="1640" w:hanging="352"/>
        <w:spacing w:after="0"/>
        <w:tabs>
          <w:tab w:leader="none" w:pos="16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conflict with or violate any Law applicable to the Company or any of its Subsidiaries or by which any property or asset of the Company or any of its Subsidiaries is</w:t>
      </w:r>
    </w:p>
    <w:p>
      <w:pPr>
        <w:spacing w:after="0" w:line="1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or affected; or</w:t>
      </w:r>
    </w:p>
    <w:p>
      <w:pPr>
        <w:spacing w:after="0" w:line="21" w:lineRule="exact"/>
        <w:rPr>
          <w:rFonts w:ascii="Times New Roman" w:cs="Times New Roman" w:eastAsia="Times New Roman" w:hAnsi="Times New Roman"/>
          <w:sz w:val="14"/>
          <w:szCs w:val="14"/>
          <w:color w:val="auto"/>
        </w:rPr>
      </w:pPr>
    </w:p>
    <w:p>
      <w:pPr>
        <w:ind w:left="1660" w:hanging="372"/>
        <w:spacing w:after="0"/>
        <w:tabs>
          <w:tab w:leader="none" w:pos="16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conflict with or violate, result in any breach of, constitute a default (or an event that, with notice or lapse of time or both, would become a default) under, require any</w:t>
      </w:r>
    </w:p>
    <w:p>
      <w:pPr>
        <w:spacing w:after="0" w:line="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 of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300"/>
          </w:cols>
          <w:pgMar w:left="300" w:top="290" w:right="29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notice to any Person pursuant to, give to others any right of termination, amendment, modification, acceleration or cancellation of, allow the imposition of any fees or penalties under, require the offering or making of any payment or redemption under, give rise to any increased, guaranteed, accelerated or additional rights or entitlements of any Person under, or otherwise adversely affect any rights of the Company or its Subsidiaries under, or result in the creation of any Encumbrance on any property, asset or right of the Company or its Subsidiaries pursuant to any Contract to which the Company or its Subsidiaries is a party or by which the Company or its Subsidiaries or any of its respective properties, assets or rights may be bound or affected;</w:t>
      </w:r>
    </w:p>
    <w:p>
      <w:pPr>
        <w:spacing w:after="0" w:line="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except, in the case of the foregoing clauses (ii) and (iii), for any such conflicts, violations, breaches, defaults or other occurrences that would not, individually or in the aggregate, reasonably be expected to be material to the Company and its Subsidiaries, taken as a whole.</w:t>
      </w:r>
    </w:p>
    <w:p>
      <w:pPr>
        <w:jc w:val="both"/>
        <w:ind w:firstLine="856"/>
        <w:spacing w:after="0" w:line="248" w:lineRule="auto"/>
        <w:tabs>
          <w:tab w:leader="none" w:pos="1211"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Company or any of its Subsidiaries is required to file, seek or obtain any notice, authorization, approval, order, permit or consent of or with any Governmental Authority in connection with the execution, delivery and performance by the Company or the Sellers of this Agreement or any of the Ancillary Agreements or the consummation of the transactions contemplated hereby or thereby or in order to prevent the termination of any right, privilege, license or qualification of the Company or any of its Subsidiaries, except for (i) such filings as may be required by any applicable federal or state securities or “blue sky” Laws and (ii) such actions or filings that the failure to take or make, as the case may be, would not, individually or in the aggregate, reasonably be expected to be material to the Company and its Subsidiaries, taken as a whole.</w:t>
      </w:r>
    </w:p>
    <w:p>
      <w:pPr>
        <w:spacing w:after="0" w:line="5" w:lineRule="exact"/>
        <w:rPr>
          <w:rFonts w:ascii="Times New Roman" w:cs="Times New Roman" w:eastAsia="Times New Roman" w:hAnsi="Times New Roman"/>
          <w:sz w:val="14"/>
          <w:szCs w:val="14"/>
          <w:color w:val="auto"/>
        </w:rPr>
      </w:pPr>
    </w:p>
    <w:p>
      <w:pPr>
        <w:ind w:firstLine="856"/>
        <w:spacing w:after="0" w:line="268" w:lineRule="auto"/>
        <w:tabs>
          <w:tab w:leader="none" w:pos="117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Company and its Subsidiaries, no “fair price,” “interested shareholder,” “business combination” or similar provision of any state takeover Law is applicable to the transactions contemplated by this Agreement or any Ancillary Agreement.</w:t>
      </w:r>
    </w:p>
    <w:p>
      <w:pPr>
        <w:jc w:val="both"/>
        <w:ind w:firstLine="432"/>
        <w:spacing w:after="0" w:line="243" w:lineRule="auto"/>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 Section 4.4 of the Disclosure Schedules sets forth a complete and accurate list, as of the date of this Agreement, of all record owners of the issued and outstanding equity interests of the Company and for each Subsidiary of the Company, indicating the respective number and class of equity interests held by each. Except for the Equity Interests and except as set forth on Section 4.4 of the Disclosure Schedules, neither the Company nor any of its Subsidiaries has issued or agreed to issue any: (a) equity or ownership interests; (b) options, warrants or interests convertible into or exchangeable or exercisable for equity or ownership interests; (c) equity appreciation rights, phantom equity, interests in the ownership or earnings of the Company or any of its Subsidiaries or other equity equivalent or equity-based awards or rights; or (d) bonds, debentures or other Indebtedness having the right to vote or convertible or exchangeable for securities having the right to vote. Each outstanding equity or ownership interest of the Company and each of its Subsidiaries is duly authorized, validly issued, fully paid and nonassessable and was not issued in violation of any preemptive or other rights of any Person to acquire securities of the Company or the applicable Subsidiary, and, in the case of its Subsidiaries, each such equity or ownership interest is owned by the Company or another Subsidiary, free and clear of any Encumbrance (other than those arising under securities Laws). All of the aforesaid equity or ownership interests of the Company and its Subsidiaries have been offered, sold and delivered by the Company or the applicable Subsidiary in compliance with all applicable U.S. federal, state and non-U.S. foreign Laws. Except for rights granted to the Buyer under this Agreement, there are no outstanding obligations of the Company or any of its Subsidiaries to issue, sell or transfer or repurchase, redeem or otherwise acquire, or that relate to the holding, voting or disposition of or that restrict the transfer of, the issued or unissued equity or ownership interests of the Company or its Subsidiaries. No equity or ownership interests of the Company or any of its Subsidiaries have been issued in violation of any rights, agreements, arrangements or commitments under any provision of applicable Law, the certificate of formation or equivalent organizational documents of the Company or any of its Subsidiaries or any Contract to which the Company or any of its Subsidiaries is a party or by which the Company or any of its Subsidiaries is bound. No equity or ownership interests of the Company are owned by the Company or held by the Company in treasury. There are no declared or accumulated but unpaid distributions in respect of any equity or ownership interests of the Company or any of its Subsidiaries. As of immediately prior to Closing, (i) all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300"/>
          </w:cols>
          <w:pgMar w:left="300" w:top="290" w:right="2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8"/>
        <w:spacing w:after="0" w:line="253" w:lineRule="auto"/>
        <w:rPr>
          <w:sz w:val="20"/>
          <w:szCs w:val="20"/>
          <w:color w:val="auto"/>
        </w:rPr>
      </w:pPr>
      <w:r>
        <w:rPr>
          <w:rFonts w:ascii="Times New Roman" w:cs="Times New Roman" w:eastAsia="Times New Roman" w:hAnsi="Times New Roman"/>
          <w:sz w:val="14"/>
          <w:szCs w:val="14"/>
          <w:color w:val="auto"/>
        </w:rPr>
        <w:t>issued and outstanding Incentive Units have been validly redeemed and cancelled by Management Holdco and are no longer outstanding, (ii) such redemption and cancellation has been duly authorized by all necessary limited liability company action on the part of Management Holdco and effected in compliance with the Management Holdco LLC Agreement and applicable Law and</w:t>
      </w:r>
    </w:p>
    <w:p>
      <w:pPr>
        <w:spacing w:after="0" w:line="1" w:lineRule="exact"/>
        <w:rPr>
          <w:sz w:val="20"/>
          <w:szCs w:val="20"/>
          <w:color w:val="auto"/>
        </w:rPr>
      </w:pPr>
    </w:p>
    <w:p>
      <w:pPr>
        <w:ind w:left="8" w:right="20" w:hanging="8"/>
        <w:spacing w:after="0" w:line="256" w:lineRule="auto"/>
        <w:tabs>
          <w:tab w:leader="none" w:pos="26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holder thereof or any other Person will have any claim against the Company or any of its Subsidiaries in respect of the Incentive Units, other than the payment to each holder thereof of such holder’s Pro Rata Share of the Aggregate Closing Consideration as set forth in the Sellers’ Allocation Schedule and any payments due to such holder under the Royalty Agreement.</w:t>
      </w:r>
    </w:p>
    <w:p>
      <w:pPr>
        <w:spacing w:after="0" w:line="1"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4"/>
          <w:szCs w:val="14"/>
          <w:color w:val="auto"/>
        </w:rPr>
        <w:t xml:space="preserve">Section 4.5 </w:t>
      </w:r>
      <w:r>
        <w:rPr>
          <w:rFonts w:ascii="Times New Roman" w:cs="Times New Roman" w:eastAsia="Times New Roman" w:hAnsi="Times New Roman"/>
          <w:sz w:val="14"/>
          <w:szCs w:val="14"/>
          <w:u w:val="single" w:color="auto"/>
          <w:color w:val="auto"/>
        </w:rPr>
        <w:t>Equity Interests.</w:t>
      </w:r>
      <w:r>
        <w:rPr>
          <w:rFonts w:ascii="Times New Roman" w:cs="Times New Roman" w:eastAsia="Times New Roman" w:hAnsi="Times New Roman"/>
          <w:sz w:val="14"/>
          <w:szCs w:val="14"/>
          <w:color w:val="auto"/>
        </w:rPr>
        <w:t xml:space="preserve"> Except for the Subsidiaries listed on Section 4.4 of the Disclosure Schedules, neither the Company nor any of its Subsidiaries directly or indirectly owns any equity, partnership, membership or similar interest in, or any interest convertible into, exercisable for the purchase of or exchangeable for any such equity, partnership, membership or similar interest, or is under any current or prospective obligation to form or participate in, provide funds to, make any loan, capital contribution or other investment in or assume any liability or obligation of, any Person.</w:t>
      </w:r>
    </w:p>
    <w:p>
      <w:pPr>
        <w:spacing w:after="0" w:line="160" w:lineRule="exact"/>
        <w:rPr>
          <w:sz w:val="20"/>
          <w:szCs w:val="20"/>
          <w:color w:val="auto"/>
        </w:rPr>
      </w:pPr>
    </w:p>
    <w:p>
      <w:pPr>
        <w:ind w:left="428"/>
        <w:spacing w:after="0"/>
        <w:tabs>
          <w:tab w:leader="none" w:pos="1208" w:val="left"/>
        </w:tabs>
        <w:rPr>
          <w:sz w:val="20"/>
          <w:szCs w:val="20"/>
          <w:color w:val="auto"/>
        </w:rPr>
      </w:pPr>
      <w:r>
        <w:rPr>
          <w:rFonts w:ascii="Times New Roman" w:cs="Times New Roman" w:eastAsia="Times New Roman" w:hAnsi="Times New Roman"/>
          <w:sz w:val="14"/>
          <w:szCs w:val="14"/>
          <w:color w:val="auto"/>
        </w:rPr>
        <w:t>Section 4.6</w:t>
      </w:r>
      <w:r>
        <w:rPr>
          <w:sz w:val="20"/>
          <w:szCs w:val="20"/>
          <w:color w:val="auto"/>
        </w:rPr>
        <w:tab/>
      </w:r>
      <w:r>
        <w:rPr>
          <w:rFonts w:ascii="Times New Roman" w:cs="Times New Roman" w:eastAsia="Times New Roman" w:hAnsi="Times New Roman"/>
          <w:sz w:val="14"/>
          <w:szCs w:val="14"/>
          <w:u w:val="single" w:color="auto"/>
          <w:color w:val="auto"/>
        </w:rPr>
        <w:t>Financial Statements; No Undisclosed Liabilities.</w:t>
      </w:r>
    </w:p>
    <w:p>
      <w:pPr>
        <w:spacing w:after="0" w:line="37" w:lineRule="exact"/>
        <w:rPr>
          <w:sz w:val="20"/>
          <w:szCs w:val="20"/>
          <w:color w:val="auto"/>
        </w:rPr>
      </w:pPr>
    </w:p>
    <w:p>
      <w:pPr>
        <w:jc w:val="both"/>
        <w:ind w:left="8" w:firstLine="856"/>
        <w:spacing w:after="0" w:line="244" w:lineRule="auto"/>
        <w:tabs>
          <w:tab w:leader="none" w:pos="107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True and complete copies of the audited consolidated balance sheet of the Company and its Subsidiaries as of December 31, 2025 (the “</w:t>
      </w:r>
      <w:r>
        <w:rPr>
          <w:rFonts w:ascii="Times New Roman" w:cs="Times New Roman" w:eastAsia="Times New Roman" w:hAnsi="Times New Roman"/>
          <w:sz w:val="14"/>
          <w:szCs w:val="14"/>
          <w:u w:val="single" w:color="auto"/>
          <w:color w:val="auto"/>
        </w:rPr>
        <w:t>Balance Sheet</w:t>
      </w:r>
      <w:r>
        <w:rPr>
          <w:rFonts w:ascii="Times New Roman" w:cs="Times New Roman" w:eastAsia="Times New Roman" w:hAnsi="Times New Roman"/>
          <w:sz w:val="14"/>
          <w:szCs w:val="14"/>
          <w:color w:val="auto"/>
        </w:rPr>
        <w:t>”) and for the period beginning April 1, 2024 and ended December 31, 2024, and the related audited consolidated statements of income of the Company and its Subsidiaries for 2025 and the period beginning April 1, 2024 and ended December 31, 2024, together with all related notes and schedules thereto, if any, accompanied by the reports thereon of the Company’s independent auditors (collectively referred to as the “</w:t>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 and the unaudited consolidated balance sheet of the Company and its Subsidiaries as of March 31, 2026, and the related consolidated statements of income of the Company and its Subsidiaries for the three month periods ended March 31, 2026 and 2025, together with all related notes and schedules thereto, if any, (collectively referred to as the “</w:t>
      </w:r>
      <w:r>
        <w:rPr>
          <w:rFonts w:ascii="Times New Roman" w:cs="Times New Roman" w:eastAsia="Times New Roman" w:hAnsi="Times New Roman"/>
          <w:sz w:val="14"/>
          <w:szCs w:val="14"/>
          <w:u w:val="single" w:color="auto"/>
          <w:color w:val="auto"/>
        </w:rPr>
        <w:t>Interim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 xml:space="preserve">”), are attached hereto as </w:t>
      </w:r>
      <w:r>
        <w:rPr>
          <w:rFonts w:ascii="Times New Roman" w:cs="Times New Roman" w:eastAsia="Times New Roman" w:hAnsi="Times New Roman"/>
          <w:sz w:val="14"/>
          <w:szCs w:val="14"/>
          <w:u w:val="single" w:color="auto"/>
          <w:color w:val="auto"/>
        </w:rPr>
        <w:t>Section 4.6(a)</w:t>
      </w:r>
      <w:r>
        <w:rPr>
          <w:rFonts w:ascii="Times New Roman" w:cs="Times New Roman" w:eastAsia="Times New Roman" w:hAnsi="Times New Roman"/>
          <w:sz w:val="14"/>
          <w:szCs w:val="14"/>
          <w:color w:val="auto"/>
        </w:rPr>
        <w:t xml:space="preserve"> of the Disclosure Schedules. Each of the Financial Statements and Interim Financial Statements (i) are correct and complete in all material respects and have been prepared in accordance with the books and records of the Company and its Subsidiaries, (ii) have been prepared in accordance with GAAP applied on a consistent basis throughout the periods indicated (except as may be indicated in the notes thereto or disclosed in the Applicable Accounting Principles) and (iii) fairly present, in all material respects, the consolidated financial position, results of operations and cash flows of the Company and its Subsidiaries as of the respective dates thereof and for the respective periods indicated therein, except as otherwise noted therein. The Company and its Subsidiaries have established, administered and maintained a system of internal accounting controls that are designed to provide reasonable assurance regarding the reliability of financial reporting and that the transactions have been recorded as necessary to permit the preparation of the Financial Statements.</w:t>
      </w:r>
    </w:p>
    <w:p>
      <w:pPr>
        <w:spacing w:after="0" w:line="8" w:lineRule="exact"/>
        <w:rPr>
          <w:rFonts w:ascii="Times New Roman" w:cs="Times New Roman" w:eastAsia="Times New Roman" w:hAnsi="Times New Roman"/>
          <w:sz w:val="14"/>
          <w:szCs w:val="14"/>
          <w:color w:val="auto"/>
        </w:rPr>
      </w:pPr>
    </w:p>
    <w:p>
      <w:pPr>
        <w:jc w:val="both"/>
        <w:ind w:left="8" w:firstLine="856"/>
        <w:spacing w:after="0" w:line="249" w:lineRule="auto"/>
        <w:tabs>
          <w:tab w:leader="none" w:pos="108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the Company nor any of its Subsidiaries has any liability or obligation of any nature, whether accrued, absolute, contingent or otherwise, whether known or unknown and whether or not required by GAAP to be reflected in a consolidated balance sheet of the Company and its Subsidiaries (prepared on a consolidated basis) or disclosed in the notes thereto, except for liabilities and obligations (i) that are disclosed, specifically reflected on or adequately reserved against in the Financial Statements or disclosed in the notes thereto, to the extent so reflected or reserved thereon, (ii) set forth on </w:t>
      </w:r>
      <w:r>
        <w:rPr>
          <w:rFonts w:ascii="Times New Roman" w:cs="Times New Roman" w:eastAsia="Times New Roman" w:hAnsi="Times New Roman"/>
          <w:sz w:val="14"/>
          <w:szCs w:val="14"/>
          <w:u w:val="single" w:color="auto"/>
          <w:color w:val="auto"/>
        </w:rPr>
        <w:t>Section 4.6(b)</w:t>
      </w:r>
      <w:r>
        <w:rPr>
          <w:rFonts w:ascii="Times New Roman" w:cs="Times New Roman" w:eastAsia="Times New Roman" w:hAnsi="Times New Roman"/>
          <w:sz w:val="14"/>
          <w:szCs w:val="14"/>
          <w:color w:val="auto"/>
        </w:rPr>
        <w:t xml:space="preserve"> of the Disclosure Schedules, (iii) incurred in the ordinary course of business consistent with past practice since the date of the Balance Sheet, (except to the extent such liabilities arise from tortious conduct, litigation, infringement, misappropriation, breaches of warranty or the failure to comply with applicable Law), (iv) expressly incurred in connection with this Agreement or (v) which would not reasonably be expected to be material to the Company and its Subsidiaries, taken as a whole.</w:t>
      </w:r>
    </w:p>
    <w:p>
      <w:pPr>
        <w:spacing w:after="0" w:line="5" w:lineRule="exact"/>
        <w:rPr>
          <w:rFonts w:ascii="Times New Roman" w:cs="Times New Roman" w:eastAsia="Times New Roman" w:hAnsi="Times New Roman"/>
          <w:sz w:val="14"/>
          <w:szCs w:val="14"/>
          <w:color w:val="auto"/>
        </w:rPr>
      </w:pPr>
    </w:p>
    <w:p>
      <w:pPr>
        <w:ind w:left="8" w:firstLine="856"/>
        <w:spacing w:after="0" w:line="282" w:lineRule="auto"/>
        <w:tabs>
          <w:tab w:leader="none" w:pos="107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books of account and financial records of the Company and its Subsidiaries are true and correct in all material respects and have been prepared and are maintained in accordance with sound accounting practice.</w:t>
      </w:r>
    </w:p>
    <w:p>
      <w:pPr>
        <w:spacing w:after="0" w:line="3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308"/>
          </w:cols>
          <w:pgMar w:left="292" w:top="290" w:right="29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4.7 </w:t>
      </w:r>
      <w:r>
        <w:rPr>
          <w:rFonts w:ascii="Times New Roman" w:cs="Times New Roman" w:eastAsia="Times New Roman" w:hAnsi="Times New Roman"/>
          <w:sz w:val="14"/>
          <w:szCs w:val="14"/>
          <w:u w:val="single" w:color="auto"/>
          <w:color w:val="auto"/>
        </w:rPr>
        <w:t>Absence of Certain Changes or Events.</w:t>
      </w:r>
      <w:r>
        <w:rPr>
          <w:rFonts w:ascii="Times New Roman" w:cs="Times New Roman" w:eastAsia="Times New Roman" w:hAnsi="Times New Roman"/>
          <w:sz w:val="14"/>
          <w:szCs w:val="14"/>
          <w:color w:val="auto"/>
        </w:rPr>
        <w:t xml:space="preserve"> Since the date of the Balance Sheet: (i) the Company and its Subsidiaries have conducted their businesses only in the ordinary course consistent with past practice; (ii) there has not been any change, event or development or prospective change, event or development that, individually or in the aggregate, has had or is reasonably likely to have a Material Adverse Effect; (iii) neither the Company nor any of its Subsidiaries has suffered any material loss, damage, destruction or other casualty affecting any of its material properties or assets, whether or not covered by insurance; and (iv) neither the Company nor any of its Subsidiaries has taken any of the following actions:</w:t>
      </w:r>
    </w:p>
    <w:p>
      <w:pPr>
        <w:spacing w:after="0" w:line="2" w:lineRule="exact"/>
        <w:rPr>
          <w:sz w:val="20"/>
          <w:szCs w:val="20"/>
          <w:color w:val="auto"/>
        </w:rPr>
      </w:pPr>
    </w:p>
    <w:p>
      <w:pPr>
        <w:ind w:left="1160" w:hanging="304"/>
        <w:spacing w:after="0"/>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amended or otherwise changed its certificate of formation or bylaws or equivalent organizational documents;</w:t>
      </w:r>
    </w:p>
    <w:p>
      <w:pPr>
        <w:spacing w:after="0" w:line="37" w:lineRule="exact"/>
        <w:rPr>
          <w:rFonts w:ascii="Times New Roman" w:cs="Times New Roman" w:eastAsia="Times New Roman" w:hAnsi="Times New Roman"/>
          <w:sz w:val="14"/>
          <w:szCs w:val="14"/>
          <w:color w:val="auto"/>
        </w:rPr>
      </w:pPr>
    </w:p>
    <w:p>
      <w:pPr>
        <w:jc w:val="both"/>
        <w:ind w:firstLine="856"/>
        <w:spacing w:after="0" w:line="250" w:lineRule="auto"/>
        <w:tabs>
          <w:tab w:leader="none" w:pos="123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sold, pledged, transferred, abandoned, disposed of or otherwise subjected to any Encumbrance (i) any equity or ownership interests of the Company or any of its Subsidiaries, (ii) any options, warrants, convertible securities or other rights of any kind to acquire any equity or ownership interests of the Company or any of its Subsidiaries, (iii) any properties or assets of the Company or any of its Subsidiaries, including Company Owned IP, other than sales or transfers of inventory in the ordinary course of business consistent with past practice or (iv) any stock appreciation rights, phantom stock, interests in the ownership or earnings of the Company or any of its Subsidiaries;</w:t>
      </w:r>
    </w:p>
    <w:p>
      <w:pPr>
        <w:spacing w:after="0" w:line="4"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declared, set aside, made or paid any non-cash dividend or other distribution on or with respect to any of its equity or ownership interest;</w:t>
      </w:r>
    </w:p>
    <w:p>
      <w:pPr>
        <w:spacing w:after="0" w:line="37" w:lineRule="exact"/>
        <w:rPr>
          <w:rFonts w:ascii="Times New Roman" w:cs="Times New Roman" w:eastAsia="Times New Roman" w:hAnsi="Times New Roman"/>
          <w:sz w:val="14"/>
          <w:szCs w:val="14"/>
          <w:color w:val="auto"/>
        </w:rPr>
      </w:pPr>
    </w:p>
    <w:p>
      <w:pPr>
        <w:ind w:firstLine="856"/>
        <w:spacing w:after="0" w:line="268" w:lineRule="auto"/>
        <w:tabs>
          <w:tab w:leader="none" w:pos="122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reclassified, combined, split, subdivided or redeemed, or purchased or otherwise acquired, directly or indirectly, any of its equity or ownership interest, or made any other change with respect to its capital structure;</w:t>
      </w:r>
    </w:p>
    <w:p>
      <w:pPr>
        <w:ind w:firstLine="856"/>
        <w:spacing w:after="0" w:line="268" w:lineRule="auto"/>
        <w:tabs>
          <w:tab w:leader="none" w:pos="117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or indirectly acquired any corporation, partnership, limited liability company, other business organization or division thereof or any material amount of assets, or enter into any joint venture, strategic alliance, exclusive dealing, noncompetition or similar contract or arrangement;</w:t>
      </w:r>
    </w:p>
    <w:p>
      <w:pPr>
        <w:ind w:right="20" w:firstLine="856"/>
        <w:spacing w:after="0" w:line="268" w:lineRule="auto"/>
        <w:tabs>
          <w:tab w:leader="none" w:pos="123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adopted a plan of complete or partial liquidation, dissolution, merger, consolidation, restructuring, recapitalization or other reorganization of the Company or any of its Subsidiaries, or otherwise alter the Company’s organizational structure;</w:t>
      </w:r>
    </w:p>
    <w:p>
      <w:pPr>
        <w:ind w:firstLine="856"/>
        <w:spacing w:after="0" w:line="268" w:lineRule="auto"/>
        <w:tabs>
          <w:tab w:leader="none" w:pos="119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incurred any Indebtedness or issued any debt securities or assumed, guaranteed or endorsed, or otherwise became responsible for, the obligations of any Person, or made any loans or advances, except in the ordinary course of business consistent with past practice;</w:t>
      </w:r>
    </w:p>
    <w:p>
      <w:pPr>
        <w:ind w:firstLine="856"/>
        <w:spacing w:after="0" w:line="261" w:lineRule="auto"/>
        <w:tabs>
          <w:tab w:leader="none" w:pos="1193"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amended, waived, modified or consented to the termination of any Material Contract, or amended, waived, modified or consented to the termination of the Company’s or any of its Subsidiaries’ rights thereunder;</w:t>
      </w:r>
    </w:p>
    <w:p>
      <w:pPr>
        <w:ind w:firstLine="856"/>
        <w:spacing w:after="0" w:line="268" w:lineRule="auto"/>
        <w:tabs>
          <w:tab w:leader="none" w:pos="120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4.7(i)</w:t>
      </w:r>
      <w:r>
        <w:rPr>
          <w:rFonts w:ascii="Times New Roman" w:cs="Times New Roman" w:eastAsia="Times New Roman" w:hAnsi="Times New Roman"/>
          <w:sz w:val="14"/>
          <w:szCs w:val="14"/>
          <w:color w:val="auto"/>
        </w:rPr>
        <w:t xml:space="preserve"> of the Disclosure Schedules, authorized, or made any commitment with respect to, any single capital expenditure that is in excess of $50,000 or capital expenditures that are, in the aggregate, in excess of $250,000 for the Company or any of its Subsidiaries, taken as a whole;</w:t>
      </w:r>
    </w:p>
    <w:p>
      <w:pPr>
        <w:ind w:right="20" w:firstLine="856"/>
        <w:spacing w:after="0" w:line="268" w:lineRule="auto"/>
        <w:tabs>
          <w:tab w:leader="none" w:pos="116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4.7(j)</w:t>
      </w:r>
      <w:r>
        <w:rPr>
          <w:rFonts w:ascii="Times New Roman" w:cs="Times New Roman" w:eastAsia="Times New Roman" w:hAnsi="Times New Roman"/>
          <w:sz w:val="14"/>
          <w:szCs w:val="14"/>
          <w:color w:val="auto"/>
        </w:rPr>
        <w:t xml:space="preserve"> of the Disclosure Schedules, entered into any lease of real or personal property or any renewals thereof involving a term of more than six months or rental obligation exceeding $10,000 per year in any single case;</w:t>
      </w:r>
    </w:p>
    <w:p>
      <w:pPr>
        <w:ind w:left="1160" w:hanging="304"/>
        <w:spacing w:after="0"/>
        <w:tabs>
          <w:tab w:leader="none" w:pos="1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entered into any collective bargaining agreement with any labor organization;</w:t>
      </w:r>
    </w:p>
    <w:p>
      <w:pPr>
        <w:spacing w:after="0" w:line="37" w:lineRule="exact"/>
        <w:rPr>
          <w:rFonts w:ascii="Times New Roman" w:cs="Times New Roman" w:eastAsia="Times New Roman" w:hAnsi="Times New Roman"/>
          <w:sz w:val="14"/>
          <w:szCs w:val="14"/>
          <w:color w:val="auto"/>
        </w:rPr>
      </w:pPr>
    </w:p>
    <w:p>
      <w:pPr>
        <w:ind w:firstLine="856"/>
        <w:spacing w:after="0" w:line="268" w:lineRule="auto"/>
        <w:tabs>
          <w:tab w:leader="none" w:pos="116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implemented or announced any employee layoffs, plant closings, reductions in force, furloughs, temporary layoffs, salary or wage reductions, work schedule changes or other such actions that could implicate the WARN Act;</w:t>
      </w:r>
    </w:p>
    <w:p>
      <w:pPr>
        <w:jc w:val="both"/>
        <w:ind w:firstLine="856"/>
        <w:spacing w:after="0" w:line="260" w:lineRule="auto"/>
        <w:tabs>
          <w:tab w:leader="none" w:pos="1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4.7(m)</w:t>
      </w:r>
      <w:r>
        <w:rPr>
          <w:rFonts w:ascii="Times New Roman" w:cs="Times New Roman" w:eastAsia="Times New Roman" w:hAnsi="Times New Roman"/>
          <w:sz w:val="14"/>
          <w:szCs w:val="14"/>
          <w:color w:val="auto"/>
        </w:rPr>
        <w:t xml:space="preserve"> of the Disclosure Schedules and except as required by applicable Law or terms of any Plan (i) increased the base compensation or any other compensation payable, or to become payable, to its directors, officers or employees or other service providers or the benefits provided to its directors, officers or employees, (ii) granted or increased, or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300"/>
          </w:cols>
          <w:pgMar w:left="300" w:top="290" w:right="2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4"/>
          <w:szCs w:val="14"/>
          <w:color w:val="auto"/>
        </w:rPr>
        <w:t>announced a grant or increase of, any incentive awards, change in control, sale, transaction or similar bonuses, or other incentive compensation, (iii) granted or increased, or announced a grant or increase of, any severance or termination payment, (iv) established, adopted, entered into or amended any Plan or arrangement that would be a Plan if it were in existence on the date hereof, or (v) hired or engaged or terminated (other than for “cause”) the employment or engagement of any employee or other individual service provider;</w:t>
      </w:r>
    </w:p>
    <w:p>
      <w:pPr>
        <w:spacing w:after="0" w:line="1" w:lineRule="exact"/>
        <w:rPr>
          <w:sz w:val="20"/>
          <w:szCs w:val="20"/>
          <w:color w:val="auto"/>
        </w:rPr>
      </w:pPr>
    </w:p>
    <w:p>
      <w:pPr>
        <w:ind w:left="1160" w:hanging="304"/>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entered into any Contract with any Related Party of the Company or any of its Subsidiaries;</w:t>
      </w:r>
    </w:p>
    <w:p>
      <w:pPr>
        <w:spacing w:after="0" w:line="37" w:lineRule="exact"/>
        <w:rPr>
          <w:rFonts w:ascii="Times New Roman" w:cs="Times New Roman" w:eastAsia="Times New Roman" w:hAnsi="Times New Roman"/>
          <w:sz w:val="14"/>
          <w:szCs w:val="14"/>
          <w:color w:val="auto"/>
        </w:rPr>
      </w:pPr>
    </w:p>
    <w:p>
      <w:pPr>
        <w:ind w:left="1180" w:hanging="324"/>
        <w:spacing w:after="0"/>
        <w:tabs>
          <w:tab w:leader="none" w:pos="11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4.7(o)</w:t>
      </w:r>
      <w:r>
        <w:rPr>
          <w:rFonts w:ascii="Times New Roman" w:cs="Times New Roman" w:eastAsia="Times New Roman" w:hAnsi="Times New Roman"/>
          <w:sz w:val="14"/>
          <w:szCs w:val="14"/>
          <w:color w:val="auto"/>
        </w:rPr>
        <w:t xml:space="preserve"> of the Disclosure Schedules, made any change in any method of accounting or accounting practice or policy, except as required by GAAP;</w:t>
      </w:r>
    </w:p>
    <w:p>
      <w:pPr>
        <w:spacing w:after="0" w:line="37" w:lineRule="exact"/>
        <w:rPr>
          <w:rFonts w:ascii="Times New Roman" w:cs="Times New Roman" w:eastAsia="Times New Roman" w:hAnsi="Times New Roman"/>
          <w:sz w:val="14"/>
          <w:szCs w:val="14"/>
          <w:color w:val="auto"/>
        </w:rPr>
      </w:pPr>
    </w:p>
    <w:p>
      <w:pPr>
        <w:ind w:right="20" w:firstLine="856"/>
        <w:spacing w:after="0" w:line="268" w:lineRule="auto"/>
        <w:tabs>
          <w:tab w:leader="none" w:pos="11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4.7(p)</w:t>
      </w:r>
      <w:r>
        <w:rPr>
          <w:rFonts w:ascii="Times New Roman" w:cs="Times New Roman" w:eastAsia="Times New Roman" w:hAnsi="Times New Roman"/>
          <w:sz w:val="14"/>
          <w:szCs w:val="14"/>
          <w:color w:val="auto"/>
        </w:rPr>
        <w:t xml:space="preserve"> of the Disclosure Schedules made, revoked or modified any Tax election, settled or compromised any Tax liability or filed any Tax Return other than on a basis consistent with past practice;</w:t>
      </w:r>
    </w:p>
    <w:p>
      <w:pPr>
        <w:ind w:right="20" w:firstLine="856"/>
        <w:spacing w:after="0" w:line="261" w:lineRule="auto"/>
        <w:tabs>
          <w:tab w:leader="none" w:pos="125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paid, discharged or satisfied any claim, liability or obligation (absolute, accrued, asserted or unasserted, contingent or otherwise), other than the payment, discharge or satisfaction of any such claims, liabilities or obligations in the ordinary course of business consistent with past practice;</w:t>
      </w:r>
    </w:p>
    <w:p>
      <w:pPr>
        <w:ind w:left="1140" w:hanging="284"/>
        <w:spacing w:after="0"/>
        <w:tabs>
          <w:tab w:leader="none" w:pos="1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canceled, compromised, waived or released any right or claim of material value;</w:t>
      </w:r>
    </w:p>
    <w:p>
      <w:pPr>
        <w:spacing w:after="0" w:line="37"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commenced or settled any Action (other than immaterial Actions related to worker’s compensation involving non-officer employees);</w:t>
      </w:r>
    </w:p>
    <w:p>
      <w:pPr>
        <w:spacing w:after="0" w:line="37" w:lineRule="exact"/>
        <w:rPr>
          <w:rFonts w:ascii="Times New Roman" w:cs="Times New Roman" w:eastAsia="Times New Roman" w:hAnsi="Times New Roman"/>
          <w:sz w:val="14"/>
          <w:szCs w:val="14"/>
          <w:color w:val="auto"/>
        </w:rPr>
      </w:pPr>
    </w:p>
    <w:p>
      <w:pPr>
        <w:ind w:left="1140" w:hanging="284"/>
        <w:spacing w:after="0"/>
        <w:tabs>
          <w:tab w:leader="none" w:pos="1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entered into any new line of business;</w:t>
      </w:r>
    </w:p>
    <w:p>
      <w:pPr>
        <w:spacing w:after="0" w:line="37" w:lineRule="exact"/>
        <w:rPr>
          <w:rFonts w:ascii="Times New Roman" w:cs="Times New Roman" w:eastAsia="Times New Roman" w:hAnsi="Times New Roman"/>
          <w:sz w:val="14"/>
          <w:szCs w:val="14"/>
          <w:color w:val="auto"/>
        </w:rPr>
      </w:pPr>
    </w:p>
    <w:p>
      <w:pPr>
        <w:jc w:val="both"/>
        <w:ind w:firstLine="856"/>
        <w:spacing w:after="0" w:line="252" w:lineRule="auto"/>
        <w:tabs>
          <w:tab w:leader="none" w:pos="119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settled any claim, notice, audit, assessment, or other proceeding in respect of material Taxes; (B) changed any material annual Tax accounting period in respect of income Taxes; (C) entered into any Tax allocation agreement, Tax sharing agreement, or Tax indemnity agreement (in each case, other than any customary commercial agreements entered into in the ordinary course of business, of which no significant purpose is related to Taxes); (D) entered into any closing agreement relating to any material amount of Taxes; (E) surrendered any right to claim a refund of material Taxes; (F) consented to any extension or waiver of the limitation period applicable to any Tax claim or assessment; or (G) made, revoked or modified any material Tax election; or</w:t>
      </w:r>
    </w:p>
    <w:p>
      <w:pPr>
        <w:spacing w:after="0" w:line="169"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an intention, entered into any formal or informal agreement, or otherwise made a commitment to do any of the foregoing.</w:t>
      </w:r>
    </w:p>
    <w:p>
      <w:pPr>
        <w:spacing w:after="0" w:line="235"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4.8</w:t>
      </w:r>
      <w:r>
        <w:rPr>
          <w:sz w:val="20"/>
          <w:szCs w:val="20"/>
          <w:color w:val="auto"/>
        </w:rPr>
        <w:tab/>
      </w:r>
      <w:r>
        <w:rPr>
          <w:rFonts w:ascii="Times New Roman" w:cs="Times New Roman" w:eastAsia="Times New Roman" w:hAnsi="Times New Roman"/>
          <w:sz w:val="14"/>
          <w:szCs w:val="14"/>
          <w:u w:val="single" w:color="auto"/>
          <w:color w:val="auto"/>
        </w:rPr>
        <w:t>Compliance with Law; Permits.</w:t>
      </w:r>
    </w:p>
    <w:p>
      <w:pPr>
        <w:spacing w:after="0" w:line="28" w:lineRule="exact"/>
        <w:rPr>
          <w:sz w:val="20"/>
          <w:szCs w:val="20"/>
          <w:color w:val="auto"/>
        </w:rPr>
      </w:pPr>
    </w:p>
    <w:p>
      <w:pPr>
        <w:jc w:val="both"/>
        <w:ind w:firstLine="856"/>
        <w:spacing w:after="0" w:line="254" w:lineRule="auto"/>
        <w:tabs>
          <w:tab w:leader="none" w:pos="120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4.8(a)</w:t>
      </w:r>
      <w:r>
        <w:rPr>
          <w:rFonts w:ascii="Times New Roman" w:cs="Times New Roman" w:eastAsia="Times New Roman" w:hAnsi="Times New Roman"/>
          <w:sz w:val="14"/>
          <w:szCs w:val="14"/>
          <w:color w:val="auto"/>
        </w:rPr>
        <w:t xml:space="preserve"> of the Disclosure Schedules, each of the Company and its Subsidiaries is, and for the three years prior to the date hereof has been, in compliance in all material respects with all Laws applicable to it or its assets, properties or business. Except as set forth on </w:t>
      </w:r>
      <w:r>
        <w:rPr>
          <w:rFonts w:ascii="Times New Roman" w:cs="Times New Roman" w:eastAsia="Times New Roman" w:hAnsi="Times New Roman"/>
          <w:sz w:val="14"/>
          <w:szCs w:val="14"/>
          <w:u w:val="single" w:color="auto"/>
          <w:color w:val="auto"/>
        </w:rPr>
        <w:t>Section 4.8(a)</w:t>
      </w:r>
      <w:r>
        <w:rPr>
          <w:rFonts w:ascii="Times New Roman" w:cs="Times New Roman" w:eastAsia="Times New Roman" w:hAnsi="Times New Roman"/>
          <w:sz w:val="14"/>
          <w:szCs w:val="14"/>
          <w:color w:val="auto"/>
        </w:rPr>
        <w:t xml:space="preserve"> of the Disclosure Schedules, none of the Company, any of its Subsidiaries or any of its or their executive officers has received for the three years prior to the date hereof, nor is there any basis for, any notice, order, complaint or other communication from any Governmental Authority or any other Person that the Company or any of its Subsidiaries is not in compliance in any material respect with any Law applicable to it.</w:t>
      </w:r>
    </w:p>
    <w:p>
      <w:pPr>
        <w:spacing w:after="0" w:line="2" w:lineRule="exact"/>
        <w:rPr>
          <w:rFonts w:ascii="Times New Roman" w:cs="Times New Roman" w:eastAsia="Times New Roman" w:hAnsi="Times New Roman"/>
          <w:sz w:val="14"/>
          <w:szCs w:val="14"/>
          <w:color w:val="auto"/>
        </w:rPr>
      </w:pPr>
    </w:p>
    <w:p>
      <w:pPr>
        <w:jc w:val="both"/>
        <w:ind w:firstLine="856"/>
        <w:spacing w:after="0" w:line="251" w:lineRule="auto"/>
        <w:tabs>
          <w:tab w:leader="none" w:pos="124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4.8(b)</w:t>
      </w:r>
      <w:r>
        <w:rPr>
          <w:rFonts w:ascii="Times New Roman" w:cs="Times New Roman" w:eastAsia="Times New Roman" w:hAnsi="Times New Roman"/>
          <w:sz w:val="14"/>
          <w:szCs w:val="14"/>
          <w:color w:val="auto"/>
        </w:rPr>
        <w:t xml:space="preserve"> of the Disclosure Schedules sets forth a true and complete list of all permits, licenses, franchises, approvals, certificates, consents, waivers, concessions, exemptions, orders, registrations, notices or other authorizations of any Governmental Authority necessary for each of the Company and its Subsidiaries to own, lease and operate its properties and to carry on its business in all material respects as currently conducted (the “</w:t>
      </w:r>
      <w:r>
        <w:rPr>
          <w:rFonts w:ascii="Times New Roman" w:cs="Times New Roman" w:eastAsia="Times New Roman" w:hAnsi="Times New Roman"/>
          <w:sz w:val="14"/>
          <w:szCs w:val="14"/>
          <w:u w:val="single" w:color="auto"/>
          <w:color w:val="auto"/>
        </w:rPr>
        <w:t>Permits</w:t>
      </w:r>
      <w:r>
        <w:rPr>
          <w:rFonts w:ascii="Times New Roman" w:cs="Times New Roman" w:eastAsia="Times New Roman" w:hAnsi="Times New Roman"/>
          <w:sz w:val="14"/>
          <w:szCs w:val="14"/>
          <w:color w:val="auto"/>
        </w:rPr>
        <w:t>”). Each of the Company and its Subsidiaries is and has been in compliance in all material respects with all such Permits, and all such Permits are in full force and effect. No suspension, cancellation, modification, revocation or nonrenewal of any Permit is pending or, to the Knowledge of the Company, threatened. The Company and its Subsidiaries will continue to have the use and benefit of all Permits following consummation of the transactions contemplated hereby.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300"/>
          </w:cols>
          <w:pgMar w:left="300" w:top="290" w:right="299" w:bottom="1440" w:gutter="0" w:footer="0" w:header="0"/>
        </w:sectPr>
      </w:pPr>
    </w:p>
    <w:bookmarkStart w:id="33" w:name="page34"/>
    <w:bookmarkEnd w:id="33"/>
    <w:p>
      <w:pPr>
        <w:ind w:left="10628"/>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No Permit is held in the name of any employee, individual independent contractor, officer, manager, equityholder, agent or otherwise on behalf of the Company or any of its Subsidiaries.</w:t>
      </w:r>
    </w:p>
    <w:p>
      <w:pPr>
        <w:spacing w:after="0" w:line="235" w:lineRule="exact"/>
        <w:rPr>
          <w:sz w:val="20"/>
          <w:szCs w:val="20"/>
          <w:color w:val="auto"/>
        </w:rPr>
      </w:pPr>
    </w:p>
    <w:p>
      <w:pPr>
        <w:jc w:val="both"/>
        <w:ind w:left="8" w:firstLine="432"/>
        <w:spacing w:after="0" w:line="245" w:lineRule="auto"/>
        <w:rPr>
          <w:sz w:val="20"/>
          <w:szCs w:val="20"/>
          <w:color w:val="auto"/>
        </w:rPr>
      </w:pPr>
      <w:r>
        <w:rPr>
          <w:rFonts w:ascii="Times New Roman" w:cs="Times New Roman" w:eastAsia="Times New Roman" w:hAnsi="Times New Roman"/>
          <w:sz w:val="14"/>
          <w:szCs w:val="14"/>
          <w:color w:val="auto"/>
        </w:rPr>
        <w:t xml:space="preserve">Section 4.9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 xml:space="preserve"> Except as set forth on Section 4.9 of the Disclosure Schedules, there is no Action pending or, to the Knowledge of the Company, threatened against the Company or any of its Subsidiaries, or any material property or asset of the Company or any of its Subsidiaries, or any of the employees, officers, individual independent contractors or managers of the Company or any of its Subsidiaries in regards to their actions as such, nor is there any basis for any such Action. There is no Action pending or, to the Knowledge of the Company, threatened seeking to prevent, hinder, modify, delay or challenge the transactions contemplated by this Agreement or the Ancillary Agreements. There is no outstanding order, writ, judgment, injunction, decree, determination or award of, or pending or, to the Knowledge of the Company, threatened investigation by, any Governmental Authority relating to the Company or any of its Subsidiaries, any of its or their properties or assets, any of the Company’s or its Subsidiaries’ employees, officers, individual independent contractors or managers, or the transactions contemplated by this Agreement or the Ancillary Agreements. There is no material Action by the Company or any of its Subsidiaries pending, or which the Company or any of its Subsidiaries has commenced preparations to initiate, against any other Person.</w:t>
      </w:r>
    </w:p>
    <w:p>
      <w:pPr>
        <w:spacing w:after="0" w:line="173" w:lineRule="exact"/>
        <w:rPr>
          <w:sz w:val="20"/>
          <w:szCs w:val="20"/>
          <w:color w:val="auto"/>
        </w:rPr>
      </w:pPr>
    </w:p>
    <w:p>
      <w:pPr>
        <w:ind w:left="428"/>
        <w:spacing w:after="0"/>
        <w:tabs>
          <w:tab w:leader="none" w:pos="1268" w:val="left"/>
        </w:tabs>
        <w:rPr>
          <w:sz w:val="20"/>
          <w:szCs w:val="20"/>
          <w:color w:val="auto"/>
        </w:rPr>
      </w:pPr>
      <w:r>
        <w:rPr>
          <w:rFonts w:ascii="Times New Roman" w:cs="Times New Roman" w:eastAsia="Times New Roman" w:hAnsi="Times New Roman"/>
          <w:sz w:val="14"/>
          <w:szCs w:val="14"/>
          <w:color w:val="auto"/>
        </w:rPr>
        <w:t>Section 4.10</w:t>
      </w:r>
      <w:r>
        <w:rPr>
          <w:sz w:val="20"/>
          <w:szCs w:val="20"/>
          <w:color w:val="auto"/>
        </w:rPr>
        <w:tab/>
      </w:r>
      <w:r>
        <w:rPr>
          <w:rFonts w:ascii="Times New Roman" w:cs="Times New Roman" w:eastAsia="Times New Roman" w:hAnsi="Times New Roman"/>
          <w:sz w:val="14"/>
          <w:szCs w:val="14"/>
          <w:u w:val="single" w:color="auto"/>
          <w:color w:val="auto"/>
        </w:rPr>
        <w:t>Employee Benefit Plans.</w:t>
      </w:r>
    </w:p>
    <w:p>
      <w:pPr>
        <w:spacing w:after="0" w:line="37" w:lineRule="exact"/>
        <w:rPr>
          <w:sz w:val="20"/>
          <w:szCs w:val="20"/>
          <w:color w:val="auto"/>
        </w:rPr>
      </w:pPr>
    </w:p>
    <w:p>
      <w:pPr>
        <w:jc w:val="both"/>
        <w:ind w:left="8" w:firstLine="856"/>
        <w:spacing w:after="0" w:line="249" w:lineRule="auto"/>
        <w:tabs>
          <w:tab w:leader="none" w:pos="1212"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4.10(a)</w:t>
      </w:r>
      <w:r>
        <w:rPr>
          <w:rFonts w:ascii="Times New Roman" w:cs="Times New Roman" w:eastAsia="Times New Roman" w:hAnsi="Times New Roman"/>
          <w:sz w:val="14"/>
          <w:szCs w:val="14"/>
          <w:color w:val="auto"/>
        </w:rPr>
        <w:t xml:space="preserve"> of the Disclosure Schedules sets forth a true and complete list of each material Plan, and separately identifies each PEO Plan. With respect to each material Non-PEO Plan, the Company has furnished to the Buyer a true and complete copy of each such Plan and has delivered to the Buyer a true and complete copy of each plan document, if any, governing each such Plan, including, as applicable, (i) a copy of each trust or other funding arrangement, (ii) the current summary plan description and any summaries of material modifications,</w:t>
      </w:r>
    </w:p>
    <w:p>
      <w:pPr>
        <w:jc w:val="both"/>
        <w:ind w:left="8" w:hanging="8"/>
        <w:spacing w:after="0" w:line="242" w:lineRule="auto"/>
        <w:tabs>
          <w:tab w:leader="none" w:pos="263"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two most recently filed Internal Revenue Service (“</w:t>
      </w:r>
      <w:r>
        <w:rPr>
          <w:rFonts w:ascii="Times New Roman" w:cs="Times New Roman" w:eastAsia="Times New Roman" w:hAnsi="Times New Roman"/>
          <w:sz w:val="14"/>
          <w:szCs w:val="14"/>
          <w:u w:val="single" w:color="auto"/>
          <w:color w:val="auto"/>
        </w:rPr>
        <w:t>IRS</w:t>
      </w:r>
      <w:r>
        <w:rPr>
          <w:rFonts w:ascii="Times New Roman" w:cs="Times New Roman" w:eastAsia="Times New Roman" w:hAnsi="Times New Roman"/>
          <w:sz w:val="14"/>
          <w:szCs w:val="14"/>
          <w:color w:val="auto"/>
        </w:rPr>
        <w:t>”) Form 5500s, (iv) the most recently received IRS determination letter for each such Plan, (v) the most recently prepared actuarial report and financial statement in connection with each such Plan, (vi) IRS Forms 1094-C and 1095-C for 2023 through 2025, and (vii) any non-routine correspondence with any Governmental Authority with respect to such Plan for the three years prior to the date hereof. With respect to each PEO Plan, the Company has furnished to the Buyer a written summary of all of the material terms of such PEO Plan and each of the foregoing items (i) through (vii) to the extent available to the Company. Neither the Company nor any of its Subsidiaries have any express or implied commitment (A) to create, incur liability with respect to or cause to exist any other employee benefit plan, program or arrangement, (B) to enter into any Contract to provide compensation or benefits to any individual or (C) to modify, change or terminate any Plan, other than with respect to a modification, change or termination required by ERISA or the Internal Revenue Code of 1986, as amended (the “</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w:t>
      </w:r>
    </w:p>
    <w:p>
      <w:pPr>
        <w:spacing w:after="0" w:line="171" w:lineRule="exact"/>
        <w:rPr>
          <w:rFonts w:ascii="Times New Roman" w:cs="Times New Roman" w:eastAsia="Times New Roman" w:hAnsi="Times New Roman"/>
          <w:sz w:val="14"/>
          <w:szCs w:val="14"/>
          <w:color w:val="auto"/>
        </w:rPr>
      </w:pPr>
    </w:p>
    <w:p>
      <w:pPr>
        <w:jc w:val="both"/>
        <w:ind w:left="8" w:firstLine="856"/>
        <w:spacing w:after="0" w:line="246" w:lineRule="auto"/>
        <w:tabs>
          <w:tab w:leader="none" w:pos="1212"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Plans is, and neither the Company, its Subsidiaries nor any of their ERISA Affiliates have ever sponsored, contributed to, been obligated to contribute to or had any current or contingent liability or obligation under any employee benefit plan that is (i) a multiemployer plan within the meaning of Section 3(37) or 4001(a)(3) of ERISA (a “</w:t>
      </w:r>
      <w:r>
        <w:rPr>
          <w:rFonts w:ascii="Times New Roman" w:cs="Times New Roman" w:eastAsia="Times New Roman" w:hAnsi="Times New Roman"/>
          <w:sz w:val="14"/>
          <w:szCs w:val="14"/>
          <w:u w:val="single" w:color="auto"/>
          <w:color w:val="auto"/>
        </w:rPr>
        <w:t>Multiemployer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(ii) a single employer pension plan within the meaning of Section 4001(a)(15) of ERISA for which the Company or any of its Subsidiaries could incur liability under Section 4063 or 4064 of ERISA (a “</w:t>
      </w:r>
      <w:r>
        <w:rPr>
          <w:rFonts w:ascii="Times New Roman" w:cs="Times New Roman" w:eastAsia="Times New Roman" w:hAnsi="Times New Roman"/>
          <w:sz w:val="14"/>
          <w:szCs w:val="14"/>
          <w:u w:val="single" w:color="auto"/>
          <w:color w:val="auto"/>
        </w:rPr>
        <w:t>Multiple Employer Plan</w:t>
      </w:r>
      <w:r>
        <w:rPr>
          <w:rFonts w:ascii="Times New Roman" w:cs="Times New Roman" w:eastAsia="Times New Roman" w:hAnsi="Times New Roman"/>
          <w:sz w:val="14"/>
          <w:szCs w:val="14"/>
          <w:color w:val="auto"/>
        </w:rPr>
        <w:t xml:space="preserve">”) (iii) a multiple employer welfare arrangement (as defined in Section 3(40) of ERISA), (iv) subject to Title IV of ERISA, or (v) any other defined benefit pension plan, whether or not subject to ERISA. Except as set forth on </w:t>
      </w:r>
      <w:r>
        <w:rPr>
          <w:rFonts w:ascii="Times New Roman" w:cs="Times New Roman" w:eastAsia="Times New Roman" w:hAnsi="Times New Roman"/>
          <w:sz w:val="14"/>
          <w:szCs w:val="14"/>
          <w:u w:val="single" w:color="auto"/>
          <w:color w:val="auto"/>
        </w:rPr>
        <w:t>Section 4.10(b)</w:t>
      </w:r>
      <w:r>
        <w:rPr>
          <w:rFonts w:ascii="Times New Roman" w:cs="Times New Roman" w:eastAsia="Times New Roman" w:hAnsi="Times New Roman"/>
          <w:sz w:val="14"/>
          <w:szCs w:val="14"/>
          <w:color w:val="auto"/>
        </w:rPr>
        <w:t xml:space="preserve"> of the Disclosure Schedules, none of such Plans: (i) provides for the payment of separation, severance, termination or similar-type benefits to any person; (ii) obligates the Company or any of its Subsidiaries to pay separation, severance, termination or similar-type benefits solely or partially as a result of the transactions contemplated by this Agreement or the Ancillary Agreements; or (iii) obligates the Company or any of its Subsidiaries to make any payment or provide any benefit as a result of the transactions contemplated by this Agreement or the Ancillary Agreements. Except as required by the Consolidated Omnibus Budget Reconciliation Act of 1985 or any comparable state Law, and for which the covered participant pays full cost of coverage, none of the Plans provide for or promises retiree medical,</w:t>
      </w:r>
    </w:p>
    <w:p>
      <w:pPr>
        <w:spacing w:after="0" w:line="3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308"/>
          </w:cols>
          <w:pgMar w:left="292" w:top="290" w:right="2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disability or life insurance benefits to any current or former employee, individual independent contractor, officer or manager of the Company or any of its Subsidiaries.</w:t>
      </w:r>
    </w:p>
    <w:p>
      <w:pPr>
        <w:spacing w:after="0" w:line="37" w:lineRule="exact"/>
        <w:rPr>
          <w:sz w:val="20"/>
          <w:szCs w:val="20"/>
          <w:color w:val="auto"/>
        </w:rPr>
      </w:pPr>
    </w:p>
    <w:p>
      <w:pPr>
        <w:jc w:val="both"/>
        <w:ind w:firstLine="856"/>
        <w:spacing w:after="0" w:line="254" w:lineRule="auto"/>
        <w:tabs>
          <w:tab w:leader="none" w:pos="119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4.10(c)</w:t>
      </w:r>
      <w:r>
        <w:rPr>
          <w:rFonts w:ascii="Times New Roman" w:cs="Times New Roman" w:eastAsia="Times New Roman" w:hAnsi="Times New Roman"/>
          <w:sz w:val="14"/>
          <w:szCs w:val="14"/>
          <w:color w:val="auto"/>
        </w:rPr>
        <w:t xml:space="preserve"> of the Disclosure Schedule, each Non-PEO Plan and, to the Knowledge of the Company, each PEO Plan, is now and has for the three years prior to the date hereof, been operated in all material respects in accordance with its terms and the requirements of all applicable Laws, including ERISA and the Code. The Company and its Subsidiaries have in all material respects performed all obligations required to be performed by them and are not in any respect in default under or in violation under any Plan, nor to the Knowledge of the Company is there any such default or violation by any other party to any Plan.</w:t>
      </w:r>
    </w:p>
    <w:p>
      <w:pPr>
        <w:spacing w:after="0" w:line="2" w:lineRule="exact"/>
        <w:rPr>
          <w:rFonts w:ascii="Times New Roman" w:cs="Times New Roman" w:eastAsia="Times New Roman" w:hAnsi="Times New Roman"/>
          <w:sz w:val="14"/>
          <w:szCs w:val="14"/>
          <w:color w:val="auto"/>
        </w:rPr>
      </w:pPr>
    </w:p>
    <w:p>
      <w:pPr>
        <w:jc w:val="both"/>
        <w:ind w:firstLine="856"/>
        <w:spacing w:after="0" w:line="254" w:lineRule="auto"/>
        <w:tabs>
          <w:tab w:leader="none" w:pos="117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Non-PEO Plan, and, to the Knowledge of the Company, each PEO Plan that is intended to be qualified under Section 401(a) of the Code is so qualified and has received a timely favorable determination letter from the IRS that the Plan is so qualified. No fact or event has occurred since the date of such determination letter or letters from the IRS that would reasonably be expected to adversely affect the qualified status of any such Plan.</w:t>
      </w:r>
    </w:p>
    <w:p>
      <w:pPr>
        <w:spacing w:after="0" w:line="1" w:lineRule="exact"/>
        <w:rPr>
          <w:rFonts w:ascii="Times New Roman" w:cs="Times New Roman" w:eastAsia="Times New Roman" w:hAnsi="Times New Roman"/>
          <w:sz w:val="14"/>
          <w:szCs w:val="14"/>
          <w:color w:val="auto"/>
        </w:rPr>
      </w:pPr>
    </w:p>
    <w:p>
      <w:pPr>
        <w:jc w:val="both"/>
        <w:ind w:firstLine="856"/>
        <w:spacing w:after="0" w:line="254" w:lineRule="auto"/>
        <w:tabs>
          <w:tab w:leader="none" w:pos="120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not been any non-exempt prohibited transaction, within the meaning of Section 406 of ERISA or Section 4975 of the Code, with respect to any Plan. Neither the Company nor any of its Subsidiaries have incurred any liability under, arising out of or by operation of Title IV of ERISA (including on account of any ERISA Affiliate), other than liability for premiums to the Pension Benefit Guaranty Corporation arising in the ordinary course, including any liability in connection with (i) the termination or reorganization of any employee benefit plan subject to Title IV of ERISA or (ii) the withdrawal from any Multiemployer Plan or Multiple Employer Plan, and no fact or event exists that would give rise to any such liability.</w:t>
      </w:r>
    </w:p>
    <w:p>
      <w:pPr>
        <w:spacing w:after="0" w:line="2" w:lineRule="exact"/>
        <w:rPr>
          <w:rFonts w:ascii="Times New Roman" w:cs="Times New Roman" w:eastAsia="Times New Roman" w:hAnsi="Times New Roman"/>
          <w:sz w:val="14"/>
          <w:szCs w:val="14"/>
          <w:color w:val="auto"/>
        </w:rPr>
      </w:pPr>
    </w:p>
    <w:p>
      <w:pPr>
        <w:jc w:val="both"/>
        <w:ind w:firstLine="856"/>
        <w:spacing w:after="0" w:line="256" w:lineRule="auto"/>
        <w:tabs>
          <w:tab w:leader="none" w:pos="12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contributions, premiums or payments required to be made with respect to any Plan have in all material respects been made on or before their due dates. All such contributions have been fully deducted for income tax purposes. No such deduction has been challenged or disallowed by any Governmental Authority and no fact or event exists that would give rise to any such challenge or disallowance. As of the date hereof, no Plan that is subject to Title IV of ERISA will have an “unfunded benefit liability” within the meaning of Section 4001(a)(18) of ERISA.</w:t>
      </w:r>
    </w:p>
    <w:p>
      <w:pPr>
        <w:spacing w:after="0" w:line="168" w:lineRule="exact"/>
        <w:rPr>
          <w:rFonts w:ascii="Times New Roman" w:cs="Times New Roman" w:eastAsia="Times New Roman" w:hAnsi="Times New Roman"/>
          <w:sz w:val="14"/>
          <w:szCs w:val="14"/>
          <w:color w:val="auto"/>
        </w:rPr>
      </w:pPr>
    </w:p>
    <w:p>
      <w:pPr>
        <w:jc w:val="both"/>
        <w:ind w:firstLine="856"/>
        <w:spacing w:after="0" w:line="250" w:lineRule="auto"/>
        <w:tabs>
          <w:tab w:leader="none" w:pos="119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Actions (other than routine claims for benefits) pending or, to the Knowledge of the Company, threatened, anticipated or expected to be asserted with respect to any Non-PEO Plan or any related trust or other funding medium thereunder or with respect to the Company or any of its Subsidiaries or any ERISA Affiliate as the sponsor or fiduciary thereof or with respect to any other fiduciary thereof, and no fact or event exists that would give rise to any such Action. To the Knowledge of the Company, there are no Actions (other than routine claims for benefits) pending or threatened, anticipated or expected to be asserted with respect to any PEO Plan or any related trust or other funding medium thereunder.</w:t>
      </w:r>
    </w:p>
    <w:p>
      <w:pPr>
        <w:spacing w:after="0" w:line="4" w:lineRule="exact"/>
        <w:rPr>
          <w:rFonts w:ascii="Times New Roman" w:cs="Times New Roman" w:eastAsia="Times New Roman" w:hAnsi="Times New Roman"/>
          <w:sz w:val="14"/>
          <w:szCs w:val="14"/>
          <w:color w:val="auto"/>
        </w:rPr>
      </w:pPr>
    </w:p>
    <w:p>
      <w:pPr>
        <w:jc w:val="both"/>
        <w:ind w:firstLine="856"/>
        <w:spacing w:after="0" w:line="259" w:lineRule="auto"/>
        <w:tabs>
          <w:tab w:leader="none" w:pos="118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Non-PEO Plan or any related trust or other funding medium thereunder or any fiduciary thereof is, to the Knowledge of the Company, the subject of an audit, investigation or examination by any Governmental Authority. To the Knowledge of the Company, no Non-PEO Plan or any related trust or other funding medium thereunder or any fiduciary thereof is the subject of an audit, investigation or examination by any Governmental Authority.</w:t>
      </w:r>
    </w:p>
    <w:p>
      <w:pPr>
        <w:jc w:val="both"/>
        <w:ind w:firstLine="856"/>
        <w:spacing w:after="0" w:line="251" w:lineRule="auto"/>
        <w:tabs>
          <w:tab w:leader="none" w:pos="1149"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and its ERISA Affiliates do not maintain any Plan which is a “group health plan,” as such term is defined in Section 5000(b)(1) of the Code, that has not been administered and operated in all material respects in compliance with the applicable requirements of Section 601 of ERISA, Section 4980B(b) of the Code and the applicable provisions of the Patient Protection and Affordable Care Act and the Health Insurance Portability and Accountability Act of 1986. Neither the Company nor its Subsidiaries are subject to any liability, including additional contributions, taxes, fines, penalties or loss of tax deduction as a result of such administration and operation. Neither the Company nor any of its Subsidiaries has incurred (whether or not assessed) any material penalty or Tax</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300"/>
          </w:cols>
          <w:pgMar w:left="300" w:top="290" w:right="2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Sections 4980B, 4980D, 4980H, 6721 or 6722 of the Code and no circumstances exist or events have occurred that could result in the imposition of any such material penalties or Taxes.</w:t>
      </w:r>
    </w:p>
    <w:p>
      <w:pPr>
        <w:spacing w:after="0" w:line="37" w:lineRule="exact"/>
        <w:rPr>
          <w:sz w:val="20"/>
          <w:szCs w:val="20"/>
          <w:color w:val="auto"/>
        </w:rPr>
      </w:pPr>
    </w:p>
    <w:p>
      <w:pPr>
        <w:jc w:val="both"/>
        <w:ind w:firstLine="856"/>
        <w:spacing w:after="0" w:line="251" w:lineRule="auto"/>
        <w:tabs>
          <w:tab w:leader="none" w:pos="117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each Non-PEO Plan and, to the Knowledge of the Company, each PEO Plan, that is a “nonqualified deferred compensation plan” (as defined for purposes of Section 409A(d)(1) of the Code), (i) such plan or arrangement has been operated in compliance with Section 409A of the Code and all applicable IRS guidance promulgated thereunder to the extent such plan or arrangement is subject to Section 409A of the Code and so as to avoid any tax, interest or penalty thereunder; and (ii) the document or documents that evidence each such plan or arrangement have conformed to the provisions of Section 409A of the Code and the final regulations under Section 409A of the Code. Neither the Company nor its Subsidiaries have any obligation to compensate any Person for any excise taxes that may be incurred by such Person under Section 409A of the Code.</w:t>
      </w:r>
    </w:p>
    <w:p>
      <w:pPr>
        <w:spacing w:after="0" w:line="4" w:lineRule="exact"/>
        <w:rPr>
          <w:rFonts w:ascii="Times New Roman" w:cs="Times New Roman" w:eastAsia="Times New Roman" w:hAnsi="Times New Roman"/>
          <w:sz w:val="14"/>
          <w:szCs w:val="14"/>
          <w:color w:val="auto"/>
        </w:rPr>
      </w:pPr>
    </w:p>
    <w:p>
      <w:pPr>
        <w:jc w:val="both"/>
        <w:ind w:firstLine="856"/>
        <w:spacing w:after="0" w:line="254" w:lineRule="auto"/>
        <w:tabs>
          <w:tab w:leader="none" w:pos="118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its Subsidiaries are obligated to make any payments, including under any Plan, that reasonably could be expected to be “excess parachute payments” pursuant to Section 280G of the Code and the Company and its Subsidiaries have no obligation to compensate any Person for any excise taxes that may be incurred by such Person under Section 4999 of the Code.</w:t>
      </w:r>
    </w:p>
    <w:p>
      <w:pPr>
        <w:spacing w:after="0" w:line="2"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4.11</w:t>
      </w:r>
      <w:r>
        <w:rPr>
          <w:sz w:val="20"/>
          <w:szCs w:val="20"/>
          <w:color w:val="auto"/>
        </w:rPr>
        <w:tab/>
      </w:r>
      <w:r>
        <w:rPr>
          <w:rFonts w:ascii="Times New Roman" w:cs="Times New Roman" w:eastAsia="Times New Roman" w:hAnsi="Times New Roman"/>
          <w:sz w:val="14"/>
          <w:szCs w:val="14"/>
          <w:u w:val="single" w:color="auto"/>
          <w:color w:val="auto"/>
        </w:rPr>
        <w:t>Labor and Employment Matters.</w:t>
      </w:r>
    </w:p>
    <w:p>
      <w:pPr>
        <w:spacing w:after="0" w:line="37" w:lineRule="exact"/>
        <w:rPr>
          <w:sz w:val="20"/>
          <w:szCs w:val="20"/>
          <w:color w:val="auto"/>
        </w:rPr>
      </w:pPr>
    </w:p>
    <w:p>
      <w:pPr>
        <w:jc w:val="both"/>
        <w:ind w:firstLine="856"/>
        <w:spacing w:after="0" w:line="249" w:lineRule="auto"/>
        <w:tabs>
          <w:tab w:leader="none" w:pos="116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4.11(a)</w:t>
      </w:r>
      <w:r>
        <w:rPr>
          <w:rFonts w:ascii="Times New Roman" w:cs="Times New Roman" w:eastAsia="Times New Roman" w:hAnsi="Times New Roman"/>
          <w:sz w:val="14"/>
          <w:szCs w:val="14"/>
          <w:color w:val="auto"/>
        </w:rPr>
        <w:t xml:space="preserve"> of the Disclosure Schedules sets forth a complete and accurate list of each current employee and individual independent contractor of the Company or any of its Subsidiaries (each a “</w:t>
      </w:r>
      <w:r>
        <w:rPr>
          <w:rFonts w:ascii="Times New Roman" w:cs="Times New Roman" w:eastAsia="Times New Roman" w:hAnsi="Times New Roman"/>
          <w:sz w:val="14"/>
          <w:szCs w:val="14"/>
          <w:u w:val="single" w:color="auto"/>
          <w:color w:val="auto"/>
        </w:rPr>
        <w:t>Company Service Provider</w:t>
      </w:r>
      <w:r>
        <w:rPr>
          <w:rFonts w:ascii="Times New Roman" w:cs="Times New Roman" w:eastAsia="Times New Roman" w:hAnsi="Times New Roman"/>
          <w:sz w:val="14"/>
          <w:szCs w:val="14"/>
          <w:color w:val="auto"/>
        </w:rPr>
        <w:t>”), and with respect to each Company Service Provider, (i) his or her (A) name or employee ID number; (B) title or position (including whether full or part time); (C) employment location; (D) employer entity; (E) status as exempt or non-exempt under the Fair Labor Standards Act (or analogous local Law); (F) hire date (and any other applicable service crediting date); (G) current annual base compensation or hourly wage rate; and (H) commission, bonus or other incentive-based compensation arrangements (including target bonus, if applicable); (ii) a description of the fringe benefits provided to each such individual as of the date hereof; and (iii) whether such individual is currently actively employed and, if on leave of absence, the nature of the leave, when such leave began and the expected return to work date.</w:t>
      </w:r>
    </w:p>
    <w:p>
      <w:pPr>
        <w:spacing w:after="0" w:line="5" w:lineRule="exact"/>
        <w:rPr>
          <w:rFonts w:ascii="Times New Roman" w:cs="Times New Roman" w:eastAsia="Times New Roman" w:hAnsi="Times New Roman"/>
          <w:sz w:val="14"/>
          <w:szCs w:val="14"/>
          <w:color w:val="auto"/>
        </w:rPr>
      </w:pPr>
    </w:p>
    <w:p>
      <w:pPr>
        <w:jc w:val="both"/>
        <w:ind w:firstLine="856"/>
        <w:spacing w:after="0" w:line="246" w:lineRule="auto"/>
        <w:tabs>
          <w:tab w:leader="none" w:pos="118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its Subsidiaries are a party to any labor or collective bargaining Contract that pertains to employees of the Company or any of its Subsidiaries. There are no, and for the three years prior to the date hereof, have been no, organizing activities or collective bargaining arrangements that could affect the Company or any of its Subsidiaries pending or under discussion with any labor organization or group of employees providing services to the Company or its Subsidiaries. There is no, and for the three years prior to the date hereof, has been no, labor dispute, strike, controversy, slowdown, work stoppage or lockout pending or, to the Knowledge of the Company, threatened against or affecting the Company or any of its Subsidiaries, nor is there any basis for the foregoing. Neither the Company nor any of its Subsidiaries has breached or otherwise failed to comply with the provisions of any collective bargaining or union Contract. There are no pending or, to the Knowledge of the Company, threatened union grievances or union representation questions involving employees providing services to the Company or its Subsidiaries.</w:t>
      </w:r>
    </w:p>
    <w:p>
      <w:pPr>
        <w:spacing w:after="0" w:line="170" w:lineRule="exact"/>
        <w:rPr>
          <w:rFonts w:ascii="Times New Roman" w:cs="Times New Roman" w:eastAsia="Times New Roman" w:hAnsi="Times New Roman"/>
          <w:sz w:val="14"/>
          <w:szCs w:val="14"/>
          <w:color w:val="auto"/>
        </w:rPr>
      </w:pPr>
    </w:p>
    <w:p>
      <w:pPr>
        <w:jc w:val="both"/>
        <w:ind w:firstLine="856"/>
        <w:spacing w:after="0" w:line="249" w:lineRule="auto"/>
        <w:tabs>
          <w:tab w:leader="none" w:pos="1169"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Company and its Subsidiaries is, and for the three years prior to the date hereof, has been, in compliance in all material respects with all applicable Laws respecting employment, including discrimination or harassment in employment, terms and conditions of employment, termination of employment, wages, overtime classification, hours, occupational safety and health, employee whistle-blowing, immigration (including timely and, proper documentation evidenced on government issued I-9 forms for all employees and contract labor and the proper confirmation of employee visas), employee privacy, employment practices and classification of employees, consultants and independent contractors. Neither the Company nor any of its Subsidiaries is engaged in any unfair labor practice, as defined in the National Labor Relations Act or other applicable Laws. Except as set forth on </w:t>
      </w:r>
      <w:r>
        <w:rPr>
          <w:rFonts w:ascii="Times New Roman" w:cs="Times New Roman" w:eastAsia="Times New Roman" w:hAnsi="Times New Roman"/>
          <w:sz w:val="14"/>
          <w:szCs w:val="14"/>
          <w:u w:val="single" w:color="auto"/>
          <w:color w:val="auto"/>
        </w:rPr>
        <w:t>Section 4.11(c)</w:t>
      </w:r>
      <w:r>
        <w:rPr>
          <w:rFonts w:ascii="Times New Roman" w:cs="Times New Roman" w:eastAsia="Times New Roman" w:hAnsi="Times New Roman"/>
          <w:sz w:val="14"/>
          <w:szCs w:val="14"/>
          <w:color w:val="auto"/>
        </w:rPr>
        <w:t xml:space="preserve"> of the Disclosure Schedules, no unfair labor practice or labor charge or complaint is pending or, to the Knowledge of the Company, threatened with respect to the Company or any of its Subsidiaries before the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300"/>
          </w:cols>
          <w:pgMar w:left="300" w:top="290" w:right="299" w:bottom="1440" w:gutter="0" w:footer="0" w:header="0"/>
        </w:sectPr>
      </w:pPr>
    </w:p>
    <w:bookmarkStart w:id="36" w:name="page37"/>
    <w:bookmarkEnd w:id="36"/>
    <w:p>
      <w:pPr>
        <w:ind w:left="10628"/>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National Labor Relations Board, the Equal Employment Opportunity Commission or any other Governmental Authority.</w:t>
      </w:r>
    </w:p>
    <w:p>
      <w:pPr>
        <w:spacing w:after="0" w:line="37" w:lineRule="exact"/>
        <w:rPr>
          <w:sz w:val="20"/>
          <w:szCs w:val="20"/>
          <w:color w:val="auto"/>
        </w:rPr>
      </w:pPr>
    </w:p>
    <w:p>
      <w:pPr>
        <w:jc w:val="both"/>
        <w:ind w:left="8" w:firstLine="856"/>
        <w:spacing w:after="0" w:line="254" w:lineRule="auto"/>
        <w:tabs>
          <w:tab w:leader="none" w:pos="124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Subsidiaries has withheld and paid to the appropriate Governmental Authority or is holding for payment not yet due to such Governmental Authority all material amounts required to be withheld from employees of the Company or the applicable Subsidiaries and is not liable for any arrears of wages, taxes, or penalties in connection with any services or work performed on behalf of the Company or any of its Subsidiaries. Each of the Company and its Subsidiaries has paid in full to all its employees or adequately accrued in accordance with GAAP for all wages, salaries, commissions, bonuses, benefits and other compensation due to or on behalf of such employees.</w:t>
      </w:r>
    </w:p>
    <w:p>
      <w:pPr>
        <w:spacing w:after="0" w:line="2" w:lineRule="exact"/>
        <w:rPr>
          <w:rFonts w:ascii="Times New Roman" w:cs="Times New Roman" w:eastAsia="Times New Roman" w:hAnsi="Times New Roman"/>
          <w:sz w:val="14"/>
          <w:szCs w:val="14"/>
          <w:color w:val="auto"/>
        </w:rPr>
      </w:pPr>
    </w:p>
    <w:p>
      <w:pPr>
        <w:jc w:val="both"/>
        <w:ind w:left="8" w:firstLine="856"/>
        <w:spacing w:after="0" w:line="250" w:lineRule="auto"/>
        <w:tabs>
          <w:tab w:leader="none" w:pos="125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is a party to, or otherwise bound by, any consent decree with, or citation by, any Governmental Authority relating to employees or employment practices. Neither the Company nor any of its Subsidiaries or any of its or their officers or managers have received for the three years prior to the date hereof, any notice of intent by any Governmental Authority responsible for the enforcement of labor or employment Laws to conduct an investigation relating to the Company or any of its Subsidiaries and, to the Knowledge of the Company, no such investigation is in progress.</w:t>
      </w:r>
    </w:p>
    <w:p>
      <w:pPr>
        <w:spacing w:after="0" w:line="4" w:lineRule="exact"/>
        <w:rPr>
          <w:rFonts w:ascii="Times New Roman" w:cs="Times New Roman" w:eastAsia="Times New Roman" w:hAnsi="Times New Roman"/>
          <w:sz w:val="14"/>
          <w:szCs w:val="14"/>
          <w:color w:val="auto"/>
        </w:rPr>
      </w:pPr>
    </w:p>
    <w:p>
      <w:pPr>
        <w:jc w:val="both"/>
        <w:ind w:left="8" w:firstLine="856"/>
        <w:spacing w:after="0" w:line="259" w:lineRule="auto"/>
        <w:tabs>
          <w:tab w:leader="none" w:pos="119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not been, and the Company does not anticipate or have any reason to believe that there will be, any adverse change in relations with employees as a result of the announcement of the transactions contemplated by this Agreement. To the Knowledge of the Company, no current employee or officer of the Company or any of its Subsidiaries intends, or is expected, to terminate his or her employment relationship with such entity following the consummation of the transactions contemplated hereby.</w:t>
      </w:r>
    </w:p>
    <w:p>
      <w:pPr>
        <w:ind w:left="1168" w:hanging="304"/>
        <w:spacing w:after="0"/>
        <w:tabs>
          <w:tab w:leader="none" w:pos="116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2023, neither the Company nor its Subsidiaries have experienced a “plant closing” or “mass layoff” as defined in the WARN Act.</w:t>
      </w:r>
    </w:p>
    <w:p>
      <w:pPr>
        <w:spacing w:after="0" w:line="37" w:lineRule="exact"/>
        <w:rPr>
          <w:rFonts w:ascii="Times New Roman" w:cs="Times New Roman" w:eastAsia="Times New Roman" w:hAnsi="Times New Roman"/>
          <w:sz w:val="14"/>
          <w:szCs w:val="14"/>
          <w:color w:val="auto"/>
        </w:rPr>
      </w:pPr>
    </w:p>
    <w:p>
      <w:pPr>
        <w:jc w:val="both"/>
        <w:ind w:left="8" w:firstLine="856"/>
        <w:spacing w:after="0" w:line="256" w:lineRule="auto"/>
        <w:tabs>
          <w:tab w:leader="none" w:pos="118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no current or former employee or independent contractor of the Company or any of its Subsidiaries is in any material respect in violation of any term of any employment agreement, nondisclosure agreement, common law nondisclosure obligation, fiduciary duty, noncompetition agreement, nonsolicitation agreement, restrictive covenant or other obligation: (i) owed to the Company or any of its Subsidiaries; or (ii) owed to any third party with respect to such person’s right to be employed or engaged by the Company or any of its Subsidiaries.</w:t>
      </w:r>
    </w:p>
    <w:p>
      <w:pPr>
        <w:spacing w:after="0" w:line="168" w:lineRule="exact"/>
        <w:rPr>
          <w:rFonts w:ascii="Times New Roman" w:cs="Times New Roman" w:eastAsia="Times New Roman" w:hAnsi="Times New Roman"/>
          <w:sz w:val="14"/>
          <w:szCs w:val="14"/>
          <w:color w:val="auto"/>
        </w:rPr>
      </w:pPr>
    </w:p>
    <w:p>
      <w:pPr>
        <w:jc w:val="both"/>
        <w:ind w:left="8" w:firstLine="856"/>
        <w:spacing w:after="0" w:line="248" w:lineRule="auto"/>
        <w:tabs>
          <w:tab w:leader="none" w:pos="115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4.11(i)</w:t>
      </w:r>
      <w:r>
        <w:rPr>
          <w:rFonts w:ascii="Times New Roman" w:cs="Times New Roman" w:eastAsia="Times New Roman" w:hAnsi="Times New Roman"/>
          <w:sz w:val="14"/>
          <w:szCs w:val="14"/>
          <w:color w:val="auto"/>
        </w:rPr>
        <w:t xml:space="preserve"> of the Disclosure Schedules, since January 1, 2023, (i) no allegations of workplace sexual harassment, discrimination or other misconduct have been made, initiated, filed or, to the Knowledge of the Company, threatened against the Company or any of its Subsidiaries or any of its or their current or former directors, officers or employees in their capacities as such, (ii) to the Knowledge of the Company, no incidents of any such workplace sexual harassment, discrimination or other misconduct have occurred, and (iii) neither the Company nor any of its Subsidiaries have entered into any settlement agreement related to allegations of sexual harassment, discrimination or other misconduct by any of their directors, officers or employees described in clause (i) hereof or any independent contractors in their capacities as such.</w:t>
      </w:r>
    </w:p>
    <w:p>
      <w:pPr>
        <w:spacing w:after="0" w:line="5" w:lineRule="exact"/>
        <w:rPr>
          <w:sz w:val="20"/>
          <w:szCs w:val="20"/>
          <w:color w:val="auto"/>
        </w:rPr>
      </w:pPr>
    </w:p>
    <w:p>
      <w:pPr>
        <w:ind w:left="428"/>
        <w:spacing w:after="0"/>
        <w:tabs>
          <w:tab w:leader="none" w:pos="1268" w:val="left"/>
        </w:tabs>
        <w:rPr>
          <w:sz w:val="20"/>
          <w:szCs w:val="20"/>
          <w:color w:val="auto"/>
        </w:rPr>
      </w:pPr>
      <w:r>
        <w:rPr>
          <w:rFonts w:ascii="Times New Roman" w:cs="Times New Roman" w:eastAsia="Times New Roman" w:hAnsi="Times New Roman"/>
          <w:sz w:val="14"/>
          <w:szCs w:val="14"/>
          <w:color w:val="auto"/>
        </w:rPr>
        <w:t>Section 4.12</w:t>
      </w:r>
      <w:r>
        <w:rPr>
          <w:sz w:val="20"/>
          <w:szCs w:val="20"/>
          <w:color w:val="auto"/>
        </w:rPr>
        <w:tab/>
      </w:r>
      <w:r>
        <w:rPr>
          <w:rFonts w:ascii="Times New Roman" w:cs="Times New Roman" w:eastAsia="Times New Roman" w:hAnsi="Times New Roman"/>
          <w:sz w:val="14"/>
          <w:szCs w:val="14"/>
          <w:u w:val="single" w:color="auto"/>
          <w:color w:val="auto"/>
        </w:rPr>
        <w:t>Title to, Sufficiency and Condition of Assets.</w:t>
      </w:r>
    </w:p>
    <w:p>
      <w:pPr>
        <w:spacing w:after="0" w:line="37" w:lineRule="exact"/>
        <w:rPr>
          <w:sz w:val="20"/>
          <w:szCs w:val="20"/>
          <w:color w:val="auto"/>
        </w:rPr>
      </w:pPr>
    </w:p>
    <w:p>
      <w:pPr>
        <w:jc w:val="both"/>
        <w:ind w:left="8" w:firstLine="856"/>
        <w:spacing w:after="0" w:line="247" w:lineRule="auto"/>
        <w:tabs>
          <w:tab w:leader="none" w:pos="1207"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have good and valid title to or a valid leasehold interest in all of their assets, including all of the assets reflected on the Balance Sheet or acquired in the ordinary course of business since the date of the Balance Sheet, except those sold or otherwise disposed of for fair value since the date of the Balance Sheet in the ordinary course of business consistent with past practice. The assets owned or leased by the Company and its Subsidiaries constitute all of the assets necessary for the Company and its Subsidiaries to carry on their respective businesses as currently conducted in all material respects. None of the assets owned or leased by the Company or any of its Subsidiaries is subject to any Encumbrance, other than</w:t>
      </w:r>
    </w:p>
    <w:p>
      <w:pPr>
        <w:spacing w:after="0" w:line="1" w:lineRule="exact"/>
        <w:rPr>
          <w:rFonts w:ascii="Times New Roman" w:cs="Times New Roman" w:eastAsia="Times New Roman" w:hAnsi="Times New Roman"/>
          <w:sz w:val="14"/>
          <w:szCs w:val="14"/>
          <w:color w:val="auto"/>
        </w:rPr>
      </w:pPr>
    </w:p>
    <w:p>
      <w:pPr>
        <w:ind w:left="8" w:hanging="8"/>
        <w:spacing w:after="0" w:line="258" w:lineRule="auto"/>
        <w:tabs>
          <w:tab w:leader="none" w:pos="1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Taxes, special assessments or other governmental charges not yet past due and payable or the amount or validity of which is being contested in good faith by appropriate process and, in each case, for which adequate reserves have been established in</w:t>
      </w:r>
    </w:p>
    <w:p>
      <w:pPr>
        <w:spacing w:after="0" w:line="36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308"/>
          </w:cols>
          <w:pgMar w:left="292" w:top="290" w:right="2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accordance with the Applicable Accounting Principles, (ii) mechanics’, workmen’s, repairmen’s, warehousemen’s, carriers’ and other similar statutory liens arising in the ordinary course of business of the Company or such Subsidiary, consistent with past practice, and for amounts which are not yet due and payable or the amount or validity of which are being contested in good faith by appropriate proceedings and, in each, for which adequate reserves have been established in accordance with the Applicable Accounting Principles and otherwise (iii) non-exclusive licenses to Company Owned IP granted in the ordinary course of business, (iv) deposits or pledges made in connection with, or to secure payment of, worker’s compensation, unemployment insurance, or similar programs mandated under applicable Laws, (v) liens on vehicles leased from Enterprise FM Trust, and (vi) other than with respect to Intellectual Property, any covenants, conditions, restrictions, easements and other similar matters of record, that do not, individually or in the aggregate, materially impair the continued ownership, occupancy, use or operation of the assets to which they relate for the current or contemplated use of such assets (collectively, “</w:t>
      </w:r>
      <w:r>
        <w:rPr>
          <w:rFonts w:ascii="Times New Roman" w:cs="Times New Roman" w:eastAsia="Times New Roman" w:hAnsi="Times New Roman"/>
          <w:sz w:val="14"/>
          <w:szCs w:val="14"/>
          <w:u w:val="single" w:color="auto"/>
          <w:color w:val="auto"/>
        </w:rPr>
        <w:t>Permitted Encumbrances</w:t>
      </w:r>
      <w:r>
        <w:rPr>
          <w:rFonts w:ascii="Times New Roman" w:cs="Times New Roman" w:eastAsia="Times New Roman" w:hAnsi="Times New Roman"/>
          <w:sz w:val="14"/>
          <w:szCs w:val="14"/>
          <w:color w:val="auto"/>
        </w:rPr>
        <w:t>”).</w:t>
      </w:r>
    </w:p>
    <w:p>
      <w:pPr>
        <w:spacing w:after="0" w:line="6" w:lineRule="exact"/>
        <w:rPr>
          <w:sz w:val="20"/>
          <w:szCs w:val="20"/>
          <w:color w:val="auto"/>
        </w:rPr>
      </w:pPr>
    </w:p>
    <w:p>
      <w:pPr>
        <w:jc w:val="both"/>
        <w:ind w:firstLine="856"/>
        <w:spacing w:after="0" w:line="254" w:lineRule="auto"/>
        <w:tabs>
          <w:tab w:leader="none" w:pos="1189"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tangible assets owned or leased by the Company or its Subsidiaries have been maintained in all material respects in accordance with generally accepted industry practice, are in all material respects in good operating condition and repair, ordinary wear and tear excepted, subject to regularly scheduled maintenance and upgrades, and are adequate for the uses to which they are being put.</w:t>
      </w:r>
    </w:p>
    <w:p>
      <w:pPr>
        <w:spacing w:after="0" w:line="1" w:lineRule="exact"/>
        <w:rPr>
          <w:rFonts w:ascii="Times New Roman" w:cs="Times New Roman" w:eastAsia="Times New Roman" w:hAnsi="Times New Roman"/>
          <w:sz w:val="14"/>
          <w:szCs w:val="14"/>
          <w:color w:val="auto"/>
        </w:rPr>
      </w:pPr>
    </w:p>
    <w:p>
      <w:pPr>
        <w:jc w:val="both"/>
        <w:ind w:firstLine="856"/>
        <w:spacing w:after="0" w:line="250" w:lineRule="auto"/>
        <w:tabs>
          <w:tab w:leader="none" w:pos="1168"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tangible assets owned or leased by the Company or any of its Subsidiaries are located on Owned Real Property or Leased Real Property, on location with a customer of the Company in accordance with the records of the Company or in transit between such customer location and Owned Real Property or Leased Real Property in the ordinary course of business. Except as set forth on </w:t>
      </w:r>
      <w:r>
        <w:rPr>
          <w:rFonts w:ascii="Times New Roman" w:cs="Times New Roman" w:eastAsia="Times New Roman" w:hAnsi="Times New Roman"/>
          <w:sz w:val="14"/>
          <w:szCs w:val="14"/>
          <w:u w:val="single" w:color="auto"/>
          <w:color w:val="auto"/>
        </w:rPr>
        <w:t>Section 4.12(c)</w:t>
      </w:r>
      <w:r>
        <w:rPr>
          <w:rFonts w:ascii="Times New Roman" w:cs="Times New Roman" w:eastAsia="Times New Roman" w:hAnsi="Times New Roman"/>
          <w:sz w:val="14"/>
          <w:szCs w:val="14"/>
          <w:color w:val="auto"/>
        </w:rPr>
        <w:t xml:space="preserve"> of the Disclosure Schedules, the Company has not made any unfulfilled commitments for the acquisition of any material tangible assets other than replacement parts and regular scheduled maintenance or upgrade in the ordinary course of business. Except in the ordinary course of business, to the Knowledge of the Company, none of the material tangible assets will require material maintenance or upgrade in the next six months following the date hereof to remain in good operating condition and repair or continue operating in the ordinary course of business.</w:t>
      </w:r>
    </w:p>
    <w:p>
      <w:pPr>
        <w:spacing w:after="0" w:line="17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4"/>
          <w:szCs w:val="14"/>
          <w:color w:val="auto"/>
        </w:rPr>
        <w:t>Section 4.13</w:t>
      </w:r>
      <w:r>
        <w:rPr>
          <w:sz w:val="20"/>
          <w:szCs w:val="20"/>
          <w:color w:val="auto"/>
        </w:rPr>
        <w:tab/>
      </w:r>
      <w:r>
        <w:rPr>
          <w:rFonts w:ascii="Times New Roman" w:cs="Times New Roman" w:eastAsia="Times New Roman" w:hAnsi="Times New Roman"/>
          <w:sz w:val="14"/>
          <w:szCs w:val="14"/>
          <w:u w:val="single" w:color="auto"/>
          <w:color w:val="auto"/>
        </w:rPr>
        <w:t>Real Propert .</w:t>
      </w:r>
    </w:p>
    <w:p>
      <w:pPr>
        <w:spacing w:after="0" w:line="37" w:lineRule="exact"/>
        <w:rPr>
          <w:sz w:val="20"/>
          <w:szCs w:val="20"/>
          <w:color w:val="auto"/>
        </w:rPr>
      </w:pPr>
    </w:p>
    <w:p>
      <w:pPr>
        <w:jc w:val="both"/>
        <w:ind w:firstLine="856"/>
        <w:spacing w:after="0" w:line="244" w:lineRule="auto"/>
        <w:tabs>
          <w:tab w:leader="none" w:pos="116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4.13(a)</w:t>
      </w:r>
      <w:r>
        <w:rPr>
          <w:rFonts w:ascii="Times New Roman" w:cs="Times New Roman" w:eastAsia="Times New Roman" w:hAnsi="Times New Roman"/>
          <w:sz w:val="14"/>
          <w:szCs w:val="14"/>
          <w:color w:val="auto"/>
        </w:rPr>
        <w:t xml:space="preserve"> of the Disclosure Schedules sets forth a true and complete list of all Owned Real Property and Leased Real Property. Each of the Company and its Subsidiaries has (i) good, valid and marketable title in fee simple to all Owned Real Property and (ii) has good and valid leasehold interest in all Leased Real Property, in each case, free and clear of all Encumbrances except Permitted Encumbrances. Except in connection with the consummation of the transactions contemplated by this Agreement and Permitted Encumbrances, neither the Company nor any Subsidiary has assigned, transferred, conveyed, mortgaged, deeded in trust or encumbered any interest in the Owned Real Property or Leased Real Property, or any portion thereof. There are no outstanding Contracts, options, rights of first refusal, or rights of first offer to purchase, sell, lease, sublease, license, or otherwise grant any right to possess, use, or occupy any Owned Real Property or any portion thereof or interest therein. None of the Company or any Subsidiaries have granted any assignment, lease, license, sublease, sub-option, easement, subordination, concession or other agreement (written or oral) granting to any Person the right to possess, use or occupy any Owned Real Property or Leased Real Property, except Permitted Encumbrances. The Company has delivered or made available to the Buyer true and complete copies of all (x) leases, licenses, occupancy agreements, office services agreements, or other agreements providing the Company or any Subsidiary the right to use or occupy any Leased Real Property and all amendments and modifications thereto, and all guaranties, related thereto (“</w:t>
      </w:r>
      <w:r>
        <w:rPr>
          <w:rFonts w:ascii="Times New Roman" w:cs="Times New Roman" w:eastAsia="Times New Roman" w:hAnsi="Times New Roman"/>
          <w:sz w:val="14"/>
          <w:szCs w:val="14"/>
          <w:u w:val="single" w:color="auto"/>
          <w:color w:val="auto"/>
        </w:rPr>
        <w:t>Real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Property Leases</w:t>
      </w:r>
      <w:r>
        <w:rPr>
          <w:rFonts w:ascii="Times New Roman" w:cs="Times New Roman" w:eastAsia="Times New Roman" w:hAnsi="Times New Roman"/>
          <w:sz w:val="14"/>
          <w:szCs w:val="14"/>
          <w:color w:val="auto"/>
        </w:rPr>
        <w:t>”), (y) deeds or indentures evidencing ownership of the Owned Real Property, and (z) all title insurance policies, surveys, and third party reports applicable to the Owned Real Property and Leased Real Property in the Company’s or any Subsidiary’s possession or under the Company’s or any Subsidiary’s control.</w:t>
      </w:r>
    </w:p>
    <w:p>
      <w:pPr>
        <w:spacing w:after="0" w:line="8" w:lineRule="exact"/>
        <w:rPr>
          <w:rFonts w:ascii="Times New Roman" w:cs="Times New Roman" w:eastAsia="Times New Roman" w:hAnsi="Times New Roman"/>
          <w:sz w:val="14"/>
          <w:szCs w:val="14"/>
          <w:color w:val="auto"/>
        </w:rPr>
      </w:pPr>
    </w:p>
    <w:p>
      <w:pPr>
        <w:ind w:firstLine="856"/>
        <w:spacing w:after="0" w:line="268" w:lineRule="auto"/>
        <w:tabs>
          <w:tab w:leader="none" w:pos="121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Real Property Leases are in full force and effect, constitute valid and binding agreements of the Company and/or its Subsidiaries and will remain valid and binding in accordance with their terms following the Closing. There exists no default under any such Real Property Leases by the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300"/>
          </w:cols>
          <w:pgMar w:left="300" w:top="290" w:right="2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Company, any of its Subsidiaries or, to the Knowledge of the Company, any other party thereto, nor any event which, with notice or lapse of time or both, would constitute a default thereunder by the Company, any of its Subsidiaries or, to the Knowledge of the Company, any other party thereto or permit termination, modification, or acceleration thereunder. Neither the Company nor any Subsidiaries have received any written notice of termination or change to, or receipt of a proposal with respect to, any Real Property Lease as a result of the transactions contemplated by this Agreement or otherwise. There are no oral agreements in effect as to any Real Property Leases. There is no litigation, arbitration, investigation or administrative proceeding pending or, to the Knowledge of the Company or any of its Subsidiaries, threatened against the Company with respect to the Leased Real Property. All rents, additional rents and other sums, expense and charges due under the Real Property Leases have been paid, and none of the security deposits, if any, held by a landlord under any Real Property Lease have been applied by such landlord to the payment of rents or any other amounts due under such Real Property Lease.</w:t>
      </w:r>
    </w:p>
    <w:p>
      <w:pPr>
        <w:spacing w:after="0" w:line="6" w:lineRule="exact"/>
        <w:rPr>
          <w:sz w:val="20"/>
          <w:szCs w:val="20"/>
          <w:color w:val="auto"/>
        </w:rPr>
      </w:pPr>
    </w:p>
    <w:p>
      <w:pPr>
        <w:jc w:val="both"/>
        <w:ind w:firstLine="856"/>
        <w:spacing w:after="0" w:line="244" w:lineRule="auto"/>
        <w:tabs>
          <w:tab w:leader="none" w:pos="118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received written notice that the Owned Real Property or Leased Real Property is subject to any judgment to be sold or to any governmental decree or order to be sold or is being condemned, expropriated, re-zoned or otherwise taken by any public authority with or without payment of compensation therefore, nor, to the Knowledge of the Company, has any such condemnation, expropriation or taking been proposed or is contemplated. There are no contractual or legal restrictions that preclude or restrict the ability to use any Owned Real Property or Leased Real Property by the Company and/or its Subsidiaries for the current or contemplated use of such real property. The operation of the Company or its applicable Subsidiary on any Owned Real Property or to its Knowledge, Leased Real Property, nor to its Knowledge, such Owned Real Property or Leased Real Property (including the improvements thereon), violate, in any material respect, any applicable Contract, building code, zoning requirement or statute relating to such property or operations thereon. All applicable certificates of occupancy and permits required to use or occupy the Owned Real Property and Leased Real Property for the current, proposed, or contemplated use of such real property have been obtained, paid, and are in full force and effect, and such certificates of occupancy and permits shall remain in full force and effect following the Closing. There are no outstanding notices of violation or unpaid fines or penalties in connection with the Owned Real Property or Leased Real Property, and to the Knowledge of the Company, no conditions exist which, with notice or lapse of time or both, would constitute a violation of any applicable certificate of occupancy or other permit with respect to the Owned Real Property or Leased Real Property.</w:t>
      </w:r>
    </w:p>
    <w:p>
      <w:pPr>
        <w:spacing w:after="0" w:line="10" w:lineRule="exact"/>
        <w:rPr>
          <w:rFonts w:ascii="Times New Roman" w:cs="Times New Roman" w:eastAsia="Times New Roman" w:hAnsi="Times New Roman"/>
          <w:sz w:val="14"/>
          <w:szCs w:val="14"/>
          <w:color w:val="auto"/>
        </w:rPr>
      </w:pPr>
    </w:p>
    <w:p>
      <w:pPr>
        <w:jc w:val="both"/>
        <w:ind w:firstLine="856"/>
        <w:spacing w:after="0" w:line="245" w:lineRule="auto"/>
        <w:tabs>
          <w:tab w:leader="none" w:pos="119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material adverse physical conditions affecting the Owned Real Property or the Leased Real Property. All plants, warehouses, distribution centers, structures and other buildings or improvements located on, making up, or a part of the Owned Real Property or the Leased Real Property are adequately maintained and are in good operating condition and repair for the requirements of the business of the Company and its Subsidiaries as currently conducted reasonable wear and tear excepted. There has been no material destruction, damage or casualty with respect to any of the Owned Real Property or Leased Real Property that has not been fully repaired or restored in accordance with applicable Law and the condition and use of the Owned Real Property and the Leased Real Property conform, in all material respects, to each applicable certificate of occupancy and all other permits required to be issued in connection therewith. All facilities, buildings or other improvements on or located at the Owned Real Property or the Leased Real Property are supplied with utilities and other services necessary for the operation of said facilities, buildings or other improvements as currently conducted. All Owned Real Property and Leased Real Property have adequate parking, loading and unloading facilities, turning radii, and means of ingress and egress for the current, proposed, and contemplated use of such real property.</w:t>
      </w:r>
    </w:p>
    <w:p>
      <w:pPr>
        <w:spacing w:after="0" w:line="8" w:lineRule="exact"/>
        <w:rPr>
          <w:rFonts w:ascii="Times New Roman" w:cs="Times New Roman" w:eastAsia="Times New Roman" w:hAnsi="Times New Roman"/>
          <w:sz w:val="14"/>
          <w:szCs w:val="14"/>
          <w:color w:val="auto"/>
        </w:rPr>
      </w:pPr>
    </w:p>
    <w:p>
      <w:pPr>
        <w:ind w:firstLine="856"/>
        <w:spacing w:after="0" w:line="268" w:lineRule="auto"/>
        <w:tabs>
          <w:tab w:leader="none" w:pos="119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Subsidiaries are obligated to pay any leasing or brokerage commission relating to any Real Property Lease, which remains outstanding or will remain outstanding following the Closing.</w:t>
      </w:r>
    </w:p>
    <w:p>
      <w:pPr>
        <w:ind w:left="1140" w:hanging="284"/>
        <w:spacing w:after="0"/>
        <w:tabs>
          <w:tab w:leader="none" w:pos="1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Taxes assessed against any Owned Real Property or Leased Real Property have been fully assessed and there are no exemptions, abatements or other concessions in effect.</w:t>
      </w:r>
    </w:p>
    <w:p>
      <w:pPr>
        <w:spacing w:after="0" w:line="1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300"/>
          </w:cols>
          <w:pgMar w:left="300" w:top="290" w:right="2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8" w:hanging="8"/>
        <w:spacing w:after="0" w:line="259" w:lineRule="auto"/>
        <w:tabs>
          <w:tab w:leader="none" w:pos="194"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pending or contemplated protests or reduction proceedings affecting the real estate taxes assessed against the Owned Real Property or, to the Knowledge of the Company, the Leased Real Property, or (ii) any pending or threatened special assessments affecting the Owned Real Property or, to the Knowledge of the Company, the Leased Real Property. Neither the Company nor any Subsidiary is currently contesting any real estate tax valuation or assessments for the Owned Real Property or Leased Real Property.</w:t>
      </w: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4.14  I</w:t>
      </w:r>
      <w:r>
        <w:rPr>
          <w:rFonts w:ascii="Times New Roman" w:cs="Times New Roman" w:eastAsia="Times New Roman" w:hAnsi="Times New Roman"/>
          <w:sz w:val="14"/>
          <w:szCs w:val="14"/>
          <w:u w:val="single" w:color="auto"/>
          <w:color w:val="auto"/>
        </w:rPr>
        <w:t>ntellectual Property and Information Technology.</w:t>
      </w:r>
    </w:p>
    <w:p>
      <w:pPr>
        <w:spacing w:after="0" w:line="37" w:lineRule="exact"/>
        <w:rPr>
          <w:rFonts w:ascii="Times New Roman" w:cs="Times New Roman" w:eastAsia="Times New Roman" w:hAnsi="Times New Roman"/>
          <w:sz w:val="14"/>
          <w:szCs w:val="14"/>
          <w:color w:val="auto"/>
        </w:rPr>
      </w:pPr>
    </w:p>
    <w:p>
      <w:pPr>
        <w:jc w:val="both"/>
        <w:ind w:left="8" w:firstLine="856"/>
        <w:spacing w:after="0" w:line="244" w:lineRule="auto"/>
        <w:tabs>
          <w:tab w:leader="none" w:pos="1185"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4.14(a)</w:t>
      </w:r>
      <w:r>
        <w:rPr>
          <w:rFonts w:ascii="Times New Roman" w:cs="Times New Roman" w:eastAsia="Times New Roman" w:hAnsi="Times New Roman"/>
          <w:sz w:val="14"/>
          <w:szCs w:val="14"/>
          <w:color w:val="auto"/>
        </w:rPr>
        <w:t xml:space="preserve"> of the Disclosure Schedules sets forth a true and complete list of all issued, registered or applied for Company Owned IP, including Domain Names and Social Media Accounts (the “</w:t>
      </w:r>
      <w:r>
        <w:rPr>
          <w:rFonts w:ascii="Times New Roman" w:cs="Times New Roman" w:eastAsia="Times New Roman" w:hAnsi="Times New Roman"/>
          <w:sz w:val="14"/>
          <w:szCs w:val="14"/>
          <w:u w:val="single" w:color="auto"/>
          <w:color w:val="auto"/>
        </w:rPr>
        <w:t>Company Registered IP</w:t>
      </w:r>
      <w:r>
        <w:rPr>
          <w:rFonts w:ascii="Times New Roman" w:cs="Times New Roman" w:eastAsia="Times New Roman" w:hAnsi="Times New Roman"/>
          <w:sz w:val="14"/>
          <w:szCs w:val="14"/>
          <w:color w:val="auto"/>
        </w:rPr>
        <w:t xml:space="preserve">”) and any material unregistered Marks. Except as set forth in </w:t>
      </w:r>
      <w:r>
        <w:rPr>
          <w:rFonts w:ascii="Times New Roman" w:cs="Times New Roman" w:eastAsia="Times New Roman" w:hAnsi="Times New Roman"/>
          <w:sz w:val="14"/>
          <w:szCs w:val="14"/>
          <w:u w:val="single" w:color="auto"/>
          <w:color w:val="auto"/>
        </w:rPr>
        <w:t>Section 4.14(a)</w:t>
      </w:r>
      <w:r>
        <w:rPr>
          <w:rFonts w:ascii="Times New Roman" w:cs="Times New Roman" w:eastAsia="Times New Roman" w:hAnsi="Times New Roman"/>
          <w:sz w:val="14"/>
          <w:szCs w:val="14"/>
          <w:color w:val="auto"/>
        </w:rPr>
        <w:t xml:space="preserve"> of the Disclosure Schedules, the Company or one of its Subsidiaries is the sole and exclusive beneficial and record owner of all of the Company Registered IP. All Company Registered IP is valid and subsisting and, to the Knowledge of the Company, enforceable. The Company has not received any notice or claim challenging the validity or enforceability of any Company Owned IP or alleging any misuse of such Company Owned IP. No Company Owned IP has been abandoned, cancelled, forfeited, relinquished or adjudicated invalid or unenforceable, or is subject to any outstanding order, writ, injunction, judgment, stipulation or decree of a Governmental Authority restricting its use or adversely affecting or reflecting the Company’s or its Subsidiaries’ rights thereto. Neither the Company nor any of its Subsidiaries has taken any action or failed to take any action that could reasonably be expected to result in the abandonment, cancellation, forfeiture, relinquishment, invalidation or unenforceability of any of the Company Owned IP (including the failure to pay any filing, examination, issuance, post registration and maintenance fees, annuities and the like and the failure to disclose any known material prior art in connection with the prosecution of patent applications).</w:t>
      </w:r>
    </w:p>
    <w:p>
      <w:pPr>
        <w:spacing w:after="0" w:line="11" w:lineRule="exact"/>
        <w:rPr>
          <w:rFonts w:ascii="Times New Roman" w:cs="Times New Roman" w:eastAsia="Times New Roman" w:hAnsi="Times New Roman"/>
          <w:sz w:val="14"/>
          <w:szCs w:val="14"/>
          <w:color w:val="auto"/>
        </w:rPr>
      </w:pPr>
    </w:p>
    <w:p>
      <w:pPr>
        <w:jc w:val="both"/>
        <w:ind w:left="8" w:firstLine="856"/>
        <w:spacing w:after="0" w:line="254" w:lineRule="auto"/>
        <w:tabs>
          <w:tab w:leader="none" w:pos="1189"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suit, action, reissue, reexamination, inter-party review, public protest, interference, arbitration, mediation, opposition, cancellation, Internet domain name dispute resolution or other proceeding (collectively, “</w:t>
      </w:r>
      <w:r>
        <w:rPr>
          <w:rFonts w:ascii="Times New Roman" w:cs="Times New Roman" w:eastAsia="Times New Roman" w:hAnsi="Times New Roman"/>
          <w:sz w:val="14"/>
          <w:szCs w:val="14"/>
          <w:u w:val="single" w:color="auto"/>
          <w:color w:val="auto"/>
        </w:rPr>
        <w:t>Suit</w:t>
      </w:r>
      <w:r>
        <w:rPr>
          <w:rFonts w:ascii="Times New Roman" w:cs="Times New Roman" w:eastAsia="Times New Roman" w:hAnsi="Times New Roman"/>
          <w:sz w:val="14"/>
          <w:szCs w:val="14"/>
          <w:color w:val="auto"/>
        </w:rPr>
        <w:t>”) has been decided, threatened or asserted concerning the Company Owned IP, including any Suit concerning a claim or position that the Company Owned IP has been violated or is invalid, unenforceable, not patentable, not registerable, cancellable, not owned or not owned exclusively by the Company or the Subsidiaries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To the Knowledge of the Company, no valid basis for any such Suit or claim exists.</w:t>
      </w:r>
    </w:p>
    <w:p>
      <w:pPr>
        <w:spacing w:after="0" w:line="2" w:lineRule="exact"/>
        <w:rPr>
          <w:rFonts w:ascii="Times New Roman" w:cs="Times New Roman" w:eastAsia="Times New Roman" w:hAnsi="Times New Roman"/>
          <w:sz w:val="14"/>
          <w:szCs w:val="14"/>
          <w:color w:val="auto"/>
        </w:rPr>
      </w:pPr>
    </w:p>
    <w:p>
      <w:pPr>
        <w:jc w:val="both"/>
        <w:ind w:left="8" w:firstLine="856"/>
        <w:spacing w:after="0" w:line="254" w:lineRule="auto"/>
        <w:tabs>
          <w:tab w:leader="none" w:pos="1198"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its Subsidiaries exclusively own or otherwise hold valid rights to use, free and clear of any and all Encumbrances (other than Permitted Encumbrances), all Intellectual Property necessary for, contemplated to be used or used in the Company’s or its Subsidiaries’ businesses as presently conducted (together with the Company Owned IP,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Business IP</w:t>
      </w:r>
      <w:r>
        <w:rPr>
          <w:rFonts w:ascii="Times New Roman" w:cs="Times New Roman" w:eastAsia="Times New Roman" w:hAnsi="Times New Roman"/>
          <w:sz w:val="14"/>
          <w:szCs w:val="14"/>
          <w:color w:val="auto"/>
        </w:rPr>
        <w:t>”). All such rights are fully assignable by the Company and the Subsidiaries to any Person, without payment, consent of any Person or other condition or restriction.</w:t>
      </w:r>
    </w:p>
    <w:p>
      <w:pPr>
        <w:spacing w:after="0" w:line="1" w:lineRule="exact"/>
        <w:rPr>
          <w:rFonts w:ascii="Times New Roman" w:cs="Times New Roman" w:eastAsia="Times New Roman" w:hAnsi="Times New Roman"/>
          <w:sz w:val="14"/>
          <w:szCs w:val="14"/>
          <w:color w:val="auto"/>
        </w:rPr>
      </w:pPr>
    </w:p>
    <w:p>
      <w:pPr>
        <w:ind w:left="8" w:right="20" w:firstLine="856"/>
        <w:spacing w:after="0" w:line="268" w:lineRule="auto"/>
        <w:tabs>
          <w:tab w:leader="none" w:pos="1207"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Suit has been threatened in writing or, to the Knowledge of the Company, orally (including in the form of offers or invitations to obtain a license), asserted, decided or is pending concerning any claim or position that the Company or the Subsidiaries have violated any Intellectual Property rights.</w:t>
      </w:r>
    </w:p>
    <w:p>
      <w:pPr>
        <w:jc w:val="both"/>
        <w:ind w:left="8" w:firstLine="856"/>
        <w:spacing w:after="0" w:line="250" w:lineRule="auto"/>
        <w:tabs>
          <w:tab w:leader="none" w:pos="1237"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have taken commercially reasonable steps to protect its and their rights in its Intellectual Property and at all times has maintained the secrecy, confidentiality and value of all material Trade Secrets used in the businesses of the Company and any of its Subsidiaries (collectively, “</w:t>
      </w:r>
      <w:r>
        <w:rPr>
          <w:rFonts w:ascii="Times New Roman" w:cs="Times New Roman" w:eastAsia="Times New Roman" w:hAnsi="Times New Roman"/>
          <w:sz w:val="14"/>
          <w:szCs w:val="14"/>
          <w:u w:val="single" w:color="auto"/>
          <w:color w:val="auto"/>
        </w:rPr>
        <w:t>Business Trade Secrets</w:t>
      </w:r>
      <w:r>
        <w:rPr>
          <w:rFonts w:ascii="Times New Roman" w:cs="Times New Roman" w:eastAsia="Times New Roman" w:hAnsi="Times New Roman"/>
          <w:sz w:val="14"/>
          <w:szCs w:val="14"/>
          <w:color w:val="auto"/>
        </w:rPr>
        <w:t>”), including entering into appropriate confidentiality agreements with all Persons with access to the Business Trade Secrets. None of the Business Trade Secrets has been disclosed or authorized to be disclosed to any Person other than to employees or agents of the Company or its Subsidiaries for use in connection with the business of the Company or its Subsidiaries or pursuant to a confidentiality or non-disclosure agreement that reasonably protects the interest of the Company and its Subsidiaries in and to such matters. To the Knowledge of the Company, no unauthorized disclosure of any Business Trade Secrets has occurred.</w:t>
      </w:r>
    </w:p>
    <w:p>
      <w:pPr>
        <w:spacing w:after="0" w:line="200" w:lineRule="exact"/>
        <w:rPr>
          <w:sz w:val="20"/>
          <w:szCs w:val="20"/>
          <w:color w:val="auto"/>
        </w:rPr>
      </w:pPr>
    </w:p>
    <w:p>
      <w:pPr>
        <w:spacing w:after="0" w:line="3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308"/>
          </w:cols>
          <w:pgMar w:left="292" w:top="290" w:right="29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856"/>
        <w:spacing w:after="0" w:line="251" w:lineRule="auto"/>
        <w:tabs>
          <w:tab w:leader="none" w:pos="118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Intellectual Property developed by or for the Company and its Subsidiaries was conceived, invented, reduced to practice, authored or otherwise created solely by either employees of the Company or its Subsidiaries acting within the scope of their employment, or independent contractors of the Company or its Subsidiaries pursuant to agreements containing an assignment (by a present tense assignment) of Intellectual Property to the Company or its Subsidiaries. All current and former employees, consultants and contractors of the Company or any of its Subsidiaries, have executed and delivered proprietary information, confidentiality and assignment agreements substantially in the Company’s standard forms and, the Company has delivered or made available to the Buyer true and complete copies of such standard.</w:t>
      </w:r>
    </w:p>
    <w:p>
      <w:pPr>
        <w:spacing w:after="0" w:line="4" w:lineRule="exact"/>
        <w:rPr>
          <w:rFonts w:ascii="Times New Roman" w:cs="Times New Roman" w:eastAsia="Times New Roman" w:hAnsi="Times New Roman"/>
          <w:sz w:val="14"/>
          <w:szCs w:val="14"/>
          <w:color w:val="auto"/>
        </w:rPr>
      </w:pPr>
    </w:p>
    <w:p>
      <w:pPr>
        <w:jc w:val="both"/>
        <w:ind w:firstLine="856"/>
        <w:spacing w:after="0" w:line="246" w:lineRule="auto"/>
        <w:tabs>
          <w:tab w:leader="none" w:pos="1183"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manufacture, sale, distribution or other commercial exploitation of products, and the provision of any services, by or on behalf of the Company or any of its Subsidiaries, and all of the other activities or operations of the Company or any of its Subsidiaries, have not in the past six years infringed upon, misappropriated, violated, diluted or constituted the unauthorized use of, any Intellectual Property of any third party, and neither the Company nor any of its Subsidiaries has received any written notice or claim in the past six years asserting or suggesting that any such infringement, misappropriation, violation, dilution or unauthorized use is or may be occurring or has or may have occurred, nor to the Knowledge of the Company is there a reasonable basis therefor. No Intellectual Property licensed to the Company or any of its Subsidiaries, is subject to any outstanding order, judgment, decree, stipulation or agreement restricting the use or licensing thereof by the Company or any of its Subsidiaries. To the Knowledge of the Company, in the past six years, no third party has or is misappropriating, infringing, diluting or violating any Intellectual Property owned by or exclusively licensed to the Company or any of its Subsidiaries in a material manner.</w:t>
      </w:r>
    </w:p>
    <w:p>
      <w:pPr>
        <w:spacing w:after="0" w:line="5" w:lineRule="exact"/>
        <w:rPr>
          <w:rFonts w:ascii="Times New Roman" w:cs="Times New Roman" w:eastAsia="Times New Roman" w:hAnsi="Times New Roman"/>
          <w:sz w:val="14"/>
          <w:szCs w:val="14"/>
          <w:color w:val="auto"/>
        </w:rPr>
      </w:pPr>
    </w:p>
    <w:p>
      <w:pPr>
        <w:jc w:val="both"/>
        <w:ind w:firstLine="856"/>
        <w:spacing w:after="0" w:line="254" w:lineRule="auto"/>
        <w:tabs>
          <w:tab w:leader="none" w:pos="1185"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Domain Names and Social Media Accounts used by the Company and its Subsidiaries are registered in the name of the Company or the applicable Subsidiary and held in hosting accounts associated with a Company email address, and all login credentials (e.g., user names and passwords) for such accounts are under the sole control of the employees of the Company or applicable Subsidiary. Upon the consummation of the Closing, the Buyer shall succeed to all such Domain Names and Social Media Accounts, including by transferring such Domain Names and Social Media Accounts to a hosting account associated with the Buyer.</w:t>
      </w:r>
    </w:p>
    <w:p>
      <w:pPr>
        <w:spacing w:after="0" w:line="2" w:lineRule="exact"/>
        <w:rPr>
          <w:rFonts w:ascii="Times New Roman" w:cs="Times New Roman" w:eastAsia="Times New Roman" w:hAnsi="Times New Roman"/>
          <w:sz w:val="14"/>
          <w:szCs w:val="14"/>
          <w:color w:val="auto"/>
        </w:rPr>
      </w:pPr>
    </w:p>
    <w:p>
      <w:pPr>
        <w:jc w:val="both"/>
        <w:ind w:firstLine="856"/>
        <w:spacing w:after="0" w:line="250" w:lineRule="auto"/>
        <w:tabs>
          <w:tab w:leader="none" w:pos="125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transferred ownership of, or granted any exclusive license with respect to, any Company Owned IP. Upon the consummation of the Closing, the Buyer shall succeed to all Company Owned IP necessary for the conduct of the Company’s and its Subsidiaries’ businesses as they are currently conducted and all of such rights shall be exercisable by the Buyer to the same extent as by the Company and its Subsidiaries prior to the Closing. No loss of any of Company Owned IP used by the Company or any of its Subsidiaries in the conduct of its business is threatened, pending or reasonably foreseeable.</w:t>
      </w:r>
    </w:p>
    <w:p>
      <w:pPr>
        <w:spacing w:after="0" w:line="4" w:lineRule="exact"/>
        <w:rPr>
          <w:rFonts w:ascii="Times New Roman" w:cs="Times New Roman" w:eastAsia="Times New Roman" w:hAnsi="Times New Roman"/>
          <w:sz w:val="14"/>
          <w:szCs w:val="14"/>
          <w:color w:val="auto"/>
        </w:rPr>
      </w:pPr>
    </w:p>
    <w:p>
      <w:pPr>
        <w:jc w:val="both"/>
        <w:ind w:firstLine="856"/>
        <w:spacing w:after="0" w:line="251" w:lineRule="auto"/>
        <w:tabs>
          <w:tab w:leader="none" w:pos="123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performance by the Company and each Seller of this Agreement and the Ancillary Agreements and the consummation of the transactions contemplated hereby and thereby, will not (i) alter or impair the ownership or right of the Company or its Subsidiaries to use any of the Company Business IP or any component thereof or (ii) give rise to any right of any third party to terminate or re-price or otherwise modify any of the Company’s or its Subsidiaries’ rights or obligations under any agreement under which any right or license of or under Intellectual Property is granted to or by the Company or its Subsidiaries. The Company Business IP constitutes all Intellectual Property necessary to operate the businesses of the Company and its Subsidiaries as currently conducted and as currently contemplated to be conducted.</w:t>
      </w:r>
    </w:p>
    <w:p>
      <w:pPr>
        <w:spacing w:after="0" w:line="4" w:lineRule="exact"/>
        <w:rPr>
          <w:rFonts w:ascii="Times New Roman" w:cs="Times New Roman" w:eastAsia="Times New Roman" w:hAnsi="Times New Roman"/>
          <w:sz w:val="14"/>
          <w:szCs w:val="14"/>
          <w:color w:val="auto"/>
        </w:rPr>
      </w:pPr>
    </w:p>
    <w:p>
      <w:pPr>
        <w:jc w:val="both"/>
        <w:ind w:firstLine="856"/>
        <w:spacing w:after="0" w:line="255" w:lineRule="auto"/>
        <w:tabs>
          <w:tab w:leader="none" w:pos="118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one of its Subsidiaries, as the case may be, owns or has rights to access and use all computer hardware, servers, networks, platforms, firmware, applications, databases, peripherals, data communication lines and other information technology equipment and related systems, including any outsourced systems and processes, in each case, used in connection with the business of the Company and its Subsidiaries or otherwise necessary for the conduct of the business of the Company and its Subsidiaries (collectively, the “</w:t>
      </w:r>
      <w:r>
        <w:rPr>
          <w:rFonts w:ascii="Times New Roman" w:cs="Times New Roman" w:eastAsia="Times New Roman" w:hAnsi="Times New Roman"/>
          <w:sz w:val="14"/>
          <w:szCs w:val="14"/>
          <w:u w:val="single" w:color="auto"/>
          <w:color w:val="auto"/>
        </w:rPr>
        <w:t>IT Systems</w:t>
      </w:r>
      <w:r>
        <w:rPr>
          <w:rFonts w:ascii="Times New Roman" w:cs="Times New Roman" w:eastAsia="Times New Roman" w:hAnsi="Times New Roman"/>
          <w:sz w:val="14"/>
          <w:szCs w:val="14"/>
          <w:color w:val="auto"/>
        </w:rPr>
        <w:t>”). The Company and its Subsidiaries have taken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300"/>
          </w:cols>
          <w:pgMar w:left="300" w:top="290" w:right="2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commercially reasonable steps in material accordance with industry standards to secure the IT Systems from unauthorized access or use by any Person, and to ensure the continued and materially uninterrupted and error-free operation of the IT Systems. The IT Systems are adequate in all material respects for their intended use and for the operation of the business of the Company and its Subsidiaries as currently operated by the Company and its Subsidiaries, and are in good working condition (normal wear and tear excepted), and, to the Knowledge of the Company, are free of all viruses, worms, Trojan horses and other known contaminants and do not contain any material bugs, errors or problems of a nature that would materially disrupt their operation or have a material adverse impact on the operation of the IT Systems. There has not been any malfunction or vulnerability with respect to any of the IT Systems for the three years prior to the date hereof, that has not been remedied or replaced in all material respects. If the IT Systems were to be continued independently from the Buyer’s information technology systems and processes, no material capital expenditures are necessary with respect to the use of the IT Systems other than capital expenditures in the ordinary course of business that are consistent with the past practice of the Company and its Subsidiaries.</w:t>
      </w:r>
    </w:p>
    <w:p>
      <w:pPr>
        <w:spacing w:after="0" w:line="163"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4.15</w:t>
      </w:r>
      <w:r>
        <w:rPr>
          <w:sz w:val="20"/>
          <w:szCs w:val="20"/>
          <w:color w:val="auto"/>
        </w:rPr>
        <w:tab/>
      </w:r>
      <w:r>
        <w:rPr>
          <w:rFonts w:ascii="Times New Roman" w:cs="Times New Roman" w:eastAsia="Times New Roman" w:hAnsi="Times New Roman"/>
          <w:sz w:val="14"/>
          <w:szCs w:val="14"/>
          <w:u w:val="single" w:color="auto"/>
          <w:color w:val="auto"/>
        </w:rPr>
        <w:t>Taxes.</w:t>
      </w:r>
    </w:p>
    <w:p>
      <w:pPr>
        <w:spacing w:after="0" w:line="37" w:lineRule="exact"/>
        <w:rPr>
          <w:sz w:val="20"/>
          <w:szCs w:val="20"/>
          <w:color w:val="auto"/>
        </w:rPr>
      </w:pPr>
    </w:p>
    <w:p>
      <w:pPr>
        <w:jc w:val="both"/>
        <w:ind w:firstLine="856"/>
        <w:spacing w:after="0" w:line="254" w:lineRule="auto"/>
        <w:tabs>
          <w:tab w:leader="none" w:pos="11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4.15(a)</w:t>
      </w:r>
      <w:r>
        <w:rPr>
          <w:rFonts w:ascii="Times New Roman" w:cs="Times New Roman" w:eastAsia="Times New Roman" w:hAnsi="Times New Roman"/>
          <w:sz w:val="14"/>
          <w:szCs w:val="14"/>
          <w:color w:val="auto"/>
        </w:rPr>
        <w:t xml:space="preserve"> of the Disclosure Schedules, all income and other material Tax Returns required to be filed by or with respect to each of the Company and its Subsidiaries have been timely filed on or before the due date thereof (taking into account any applicable extension of time within which to file), and such Tax Returns are true, correct and complete in all material respects. There are no Taxes of the Company or any of its Subsidiaries, or any of the respective Affiliates of any of the foregoing for which the Buyer (or any of its Affiliates) would reasonably be expected to be liable as a result of the transactions contemplated by this Agreement, other than Taxes accrued on the Preliminary Closing Balance Sheet.</w:t>
      </w:r>
    </w:p>
    <w:p>
      <w:pPr>
        <w:spacing w:after="0" w:line="2" w:lineRule="exact"/>
        <w:rPr>
          <w:rFonts w:ascii="Times New Roman" w:cs="Times New Roman" w:eastAsia="Times New Roman" w:hAnsi="Times New Roman"/>
          <w:sz w:val="14"/>
          <w:szCs w:val="14"/>
          <w:color w:val="auto"/>
        </w:rPr>
      </w:pPr>
    </w:p>
    <w:p>
      <w:pPr>
        <w:jc w:val="both"/>
        <w:ind w:firstLine="856"/>
        <w:spacing w:after="0" w:line="254" w:lineRule="auto"/>
        <w:tabs>
          <w:tab w:leader="none" w:pos="12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material Taxes of the Company and its Subsidiaries that are required by Law to be paid by the Company and its Subsidiaries (whether or not shown on any Tax Return) have been paid. Each of the Company and its Subsidiaries has adequately reserved in the Financial Statements in accordance with GAAP all Taxes (whether or not shown on any Tax Return) that have accrued but are not yet due or payable as of the dates thereof. Since the date of the Balance Sheet, neither the Company nor any of its Subsidiaries has incurred any liability for Taxes outside the ordinary course of business or otherwise inconsistent with past custom and practice. Each of the Company and its Subsidiaries has complied in all material respects with applicable Tax Laws.</w:t>
      </w:r>
    </w:p>
    <w:p>
      <w:pPr>
        <w:spacing w:after="0" w:line="2" w:lineRule="exact"/>
        <w:rPr>
          <w:rFonts w:ascii="Times New Roman" w:cs="Times New Roman" w:eastAsia="Times New Roman" w:hAnsi="Times New Roman"/>
          <w:sz w:val="14"/>
          <w:szCs w:val="14"/>
          <w:color w:val="auto"/>
        </w:rPr>
      </w:pPr>
    </w:p>
    <w:p>
      <w:pPr>
        <w:jc w:val="both"/>
        <w:ind w:firstLine="856"/>
        <w:spacing w:after="0" w:line="246" w:lineRule="auto"/>
        <w:tabs>
          <w:tab w:leader="none" w:pos="1168"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is currently the subject of an audit, examination or other Actions relating to Taxes of the Company or any of its Subsidiaries by any Taxing Authority. Neither the Company nor any of its Subsidiaries has received any written notices from any Taxing Authority that such an audit, examination or other Actions is currently pending or being threatened. No deficiency for any material amount of Taxes has been asserted or assessed by any Taxing Authority in writing against the Company or any of its Subsidiaries, except for deficiencies which have been satisfied by payment, settled, withdrawn or otherwise resolved. To the Knowledge of the Company, there are no matters under discussion with any Taxing Authority with respect to the liability of the Company or any of its Subsidiaries with respect to Taxes that would reasonably be expected to result in an additional material liability for Taxes with respect to the Company or any of its Subsidiaries.</w:t>
      </w:r>
    </w:p>
    <w:p>
      <w:pPr>
        <w:spacing w:after="0" w:line="8" w:lineRule="exact"/>
        <w:rPr>
          <w:rFonts w:ascii="Times New Roman" w:cs="Times New Roman" w:eastAsia="Times New Roman" w:hAnsi="Times New Roman"/>
          <w:sz w:val="14"/>
          <w:szCs w:val="14"/>
          <w:color w:val="auto"/>
        </w:rPr>
      </w:pPr>
    </w:p>
    <w:p>
      <w:pPr>
        <w:jc w:val="both"/>
        <w:ind w:firstLine="856"/>
        <w:spacing w:after="0" w:line="251" w:lineRule="auto"/>
        <w:tabs>
          <w:tab w:leader="none" w:pos="117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material Taxes that the Company or any of its Subsidiaries is (or was) required by Law to withhold or collect in connection with amounts paid or owing to any independent contractor, creditor, member or other third party have been duly withheld or collected, and have been timely paid or remitted over to the proper Taxing Authorities to the extent due and payable. Each of the Company and its Subsidiaries properly has requested, received, and retained material necessary exemption certificates and other documentation supporting any claimed exemption or waiver of Taxes on sales or other transaction as to which such Person otherwise would have been obligated to collect or withhold Taxes. Each of the Company and its Subsidiaries has complied with all material information reporting and record keeping requirements under all applicable Tax Laws, including retention and maintenance of required records with respect thereto.</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300"/>
          </w:cols>
          <w:pgMar w:left="300" w:top="290" w:right="2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0" w:hanging="344"/>
        <w:spacing w:after="0"/>
        <w:tabs>
          <w:tab w:leader="none" w:pos="1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material Encumbrances with respect to Taxes (other than Permitted Encumbrances) on any of the assets of or the equity interests in the Company or any of its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Subsidiaries.</w:t>
      </w:r>
    </w:p>
    <w:p>
      <w:pPr>
        <w:spacing w:after="0" w:line="21" w:lineRule="exact"/>
        <w:rPr>
          <w:sz w:val="20"/>
          <w:szCs w:val="20"/>
          <w:color w:val="auto"/>
        </w:rPr>
      </w:pPr>
    </w:p>
    <w:p>
      <w:pPr>
        <w:jc w:val="both"/>
        <w:ind w:firstLine="856"/>
        <w:spacing w:after="0" w:line="259" w:lineRule="auto"/>
        <w:tabs>
          <w:tab w:leader="none" w:pos="1161"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is a party to or bound by any Tax sharing, indemnification or allocation agreement or other similar Contract, other than (i) any Tax sharing, indemnification or allocation agreement or Contract the only parties to which are any the Company or any of its Subsidiaries and (ii) any customary Contracts entered into in the ordinary course of business and the principal purpose of which is not the allocation or sharing of Taxes.</w:t>
      </w:r>
    </w:p>
    <w:p>
      <w:pPr>
        <w:ind w:right="20" w:firstLine="856"/>
        <w:spacing w:after="0" w:line="268" w:lineRule="auto"/>
        <w:tabs>
          <w:tab w:leader="none" w:pos="120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constituted either a “distributing corporation” or a “controlled corporation” in a distribution of stock qualifying for tax-free treatment under Section 355 or Section 361 of the Code.</w:t>
      </w:r>
    </w:p>
    <w:p>
      <w:pPr>
        <w:ind w:firstLine="856"/>
        <w:spacing w:after="0" w:line="261" w:lineRule="auto"/>
        <w:tabs>
          <w:tab w:leader="none" w:pos="125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received a written material claim to pay Taxes or file Tax Returns from a Taxing Authority of a certain type in a jurisdiction where the Company or such Subsidiary has not filed Tax Returns of such type, which such claim has not been resolved.</w:t>
      </w:r>
    </w:p>
    <w:p>
      <w:pPr>
        <w:ind w:firstLine="856"/>
        <w:spacing w:after="0" w:line="268" w:lineRule="auto"/>
        <w:tabs>
          <w:tab w:leader="none" w:pos="118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participated in any “reportable transaction” within the meaning of Treasury Regulations Section 1.6011-4(b)(1) (or any corresponding or comparable U.S. state or local or non-U.S. Tax Law) that has not been disclosed in the relevant Tax Return of the Company or such Subsidiary.</w:t>
      </w:r>
    </w:p>
    <w:p>
      <w:pPr>
        <w:jc w:val="both"/>
        <w:ind w:firstLine="856"/>
        <w:spacing w:after="0" w:line="251" w:lineRule="auto"/>
        <w:tabs>
          <w:tab w:leader="none" w:pos="119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Subsidiaries is in material compliance with all applicable transfer pricing Laws and regulations, including the execution and maintenance of contemporaneous documentation substantiating the transfer pricing practices and methodology of such Person, and the prices charged, paid, or incurred between (or among) the Company and its Subsidiaries and their respective Affiliates, or any combination thereof, for any property or services (or for the use of money or any other property) are arm’s-length prices for purposes of all applicable transfer pricing Laws (and no other material consideration has been charged, paid, or incurred for any such property or services other than those documented prices that were charged, paid, and incurred for such property and services).</w:t>
      </w:r>
    </w:p>
    <w:p>
      <w:pPr>
        <w:spacing w:after="0" w:line="4" w:lineRule="exact"/>
        <w:rPr>
          <w:rFonts w:ascii="Times New Roman" w:cs="Times New Roman" w:eastAsia="Times New Roman" w:hAnsi="Times New Roman"/>
          <w:sz w:val="14"/>
          <w:szCs w:val="14"/>
          <w:color w:val="auto"/>
        </w:rPr>
      </w:pPr>
    </w:p>
    <w:p>
      <w:pPr>
        <w:jc w:val="both"/>
        <w:ind w:firstLine="856"/>
        <w:spacing w:after="0" w:line="250" w:lineRule="auto"/>
        <w:tabs>
          <w:tab w:leader="none" w:pos="123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Subsidiaries has previously delivered or made available to the Buyer complete and accurate copies of all material U.S. federal, state, local, and non-U.S. Tax Returns of such Person for all taxable years since the formation of the Company and its Subsidiaries, as applicable, including, if available, for the most recent taxable year, and complete and accurate copies of all audit or examination reports and statements of deficiencies assessed against or agreed to by the Company or any of its Subsidiaries for all taxable years remaining open under the applicable statutes of limitations.</w:t>
      </w:r>
    </w:p>
    <w:p>
      <w:pPr>
        <w:spacing w:after="0" w:line="4" w:lineRule="exact"/>
        <w:rPr>
          <w:rFonts w:ascii="Times New Roman" w:cs="Times New Roman" w:eastAsia="Times New Roman" w:hAnsi="Times New Roman"/>
          <w:sz w:val="14"/>
          <w:szCs w:val="14"/>
          <w:color w:val="auto"/>
        </w:rPr>
      </w:pPr>
    </w:p>
    <w:p>
      <w:pPr>
        <w:jc w:val="both"/>
        <w:ind w:firstLine="856"/>
        <w:spacing w:after="0" w:line="259" w:lineRule="auto"/>
        <w:tabs>
          <w:tab w:leader="none" w:pos="116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waived any statute of limitations in respect of Taxes or agreed to any extension of time with respect to the assessment or collection of any Tax which such waiver or extension is currently in effect, nor has any request been made in writing for any such extension or waiver other than extensions automatically available by statute that do not result in the imposition of any penalty or addition to Tax. There are no powers of attorney in effect with respect to Taxes of the Company or any of its Subsidiaries.</w:t>
      </w:r>
    </w:p>
    <w:p>
      <w:pPr>
        <w:ind w:left="1200" w:hanging="344"/>
        <w:spacing w:after="0"/>
        <w:tabs>
          <w:tab w:leader="none" w:pos="12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sought or received any benefit in respect of any Pandemic Response Law.</w:t>
      </w:r>
    </w:p>
    <w:p>
      <w:pPr>
        <w:spacing w:after="0" w:line="37" w:lineRule="exact"/>
        <w:rPr>
          <w:rFonts w:ascii="Times New Roman" w:cs="Times New Roman" w:eastAsia="Times New Roman" w:hAnsi="Times New Roman"/>
          <w:sz w:val="14"/>
          <w:szCs w:val="14"/>
          <w:color w:val="auto"/>
        </w:rPr>
      </w:pPr>
    </w:p>
    <w:p>
      <w:pPr>
        <w:jc w:val="both"/>
        <w:ind w:firstLine="856"/>
        <w:spacing w:after="0" w:line="251" w:lineRule="auto"/>
        <w:tabs>
          <w:tab w:leader="none" w:pos="121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will be required to include any item of income in, or exclude any item of deduction from, taxable income for any taxable period (or portion thereof) ending after the Closing Date as a result of any: (i) change in method of accounting or use of an improper method of accounting for a taxable period ending on or prior to the Closing Date (whether pursuant to Code Section 481, Code Section 263A, or otherwise); (ii) “closing agreement” as described in Code Section 7121 (or any corresponding or similar provision of state, local or non-U.S. Tax Law) executed on or prior to the Closing Date; (iii) installment sale or open transaction disposition made prior to the Closing; (iv) intercompany transactions or any excess loss account described in Treasury Regulations under Code Section 1502 (or any corresponding or similar provision of applicable state, local, or non-U.S.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300"/>
          </w:cols>
          <w:pgMar w:left="300" w:top="290" w:right="2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Law); (v) prepaid amount received on or prior to the Closing Date; (vi) deferred revenue accrued prior to the Closing Date; (vii) deferred gains arising prior to the Closing Date; (viii) income attributable to a taxable period (or portion thereof) ending on or prior to the Closing Date (i.e., measured as though the Closing Date were the last day of the applicable taxable period), in each case as applicable to the Company or any of its Subsidiaries (or any Affiliate of such Person), to the extent such income is (A) for taxable years beginning on or before December 31, 2025, “global intangible low-taxed income” within the meaning of Section 951A of the Code (or any corresponding or similar provision of state, local, or non-U.S. Law), (B) for taxable years beginning after December 31, 2025, “net CFC tested income” within the meaning of Section 951A of the Code (or any corresponding or similar provision of applicable state, local, or non-U.S. Law), or (C) “subpart F income” within the meaning of Section 951 of the Code (or any corresponding or similar provision of applicable state, local, or non-U.S. Law); or (ix) any election under Section 965(h) of the Code. Each of the Company and its Subsidiaries is, and has been at all times on and subsequent to its formation, an “accrual method” taxpayer under the Code. The taxable year of the Company and each of its Subsidiaries is the calendar year.</w:t>
      </w:r>
    </w:p>
    <w:p>
      <w:pPr>
        <w:spacing w:after="0" w:line="3" w:lineRule="exact"/>
        <w:rPr>
          <w:sz w:val="20"/>
          <w:szCs w:val="20"/>
          <w:color w:val="auto"/>
        </w:rPr>
      </w:pPr>
    </w:p>
    <w:p>
      <w:pPr>
        <w:ind w:firstLine="856"/>
        <w:spacing w:after="0" w:line="268" w:lineRule="auto"/>
        <w:tabs>
          <w:tab w:leader="none" w:pos="1255"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will have any liability for the Taxes of any other Person (other than the Company or its Subsidiaries) under Treasury Regulations Section 1.1502-6 (or any similar provision of state, local or non-U.S. Law), as a transferee or successor, by contract, operation of Law or otherwise.</w:t>
      </w:r>
    </w:p>
    <w:p>
      <w:pPr>
        <w:ind w:left="1160" w:hanging="304"/>
        <w:spacing w:after="0"/>
        <w:tabs>
          <w:tab w:leader="none" w:pos="1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ever has been included in (or is includible in) any “affiliated group” within the meaning of Section 1504(a)(1) of the Code.</w:t>
      </w:r>
    </w:p>
    <w:p>
      <w:pPr>
        <w:spacing w:after="0" w:line="37" w:lineRule="exact"/>
        <w:rPr>
          <w:rFonts w:ascii="Times New Roman" w:cs="Times New Roman" w:eastAsia="Times New Roman" w:hAnsi="Times New Roman"/>
          <w:sz w:val="14"/>
          <w:szCs w:val="14"/>
          <w:color w:val="auto"/>
        </w:rPr>
      </w:pPr>
    </w:p>
    <w:p>
      <w:pPr>
        <w:jc w:val="both"/>
        <w:ind w:firstLine="856"/>
        <w:spacing w:after="0" w:line="254" w:lineRule="auto"/>
        <w:tabs>
          <w:tab w:leader="none" w:pos="1189"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tax classification for U.S. federal income tax purposes of each of the Company and its Subsidiaries at all times on and after the date of formation of each such entity, and as of the Closing Date is set forth on </w:t>
      </w:r>
      <w:r>
        <w:rPr>
          <w:rFonts w:ascii="Times New Roman" w:cs="Times New Roman" w:eastAsia="Times New Roman" w:hAnsi="Times New Roman"/>
          <w:sz w:val="14"/>
          <w:szCs w:val="14"/>
          <w:u w:val="single" w:color="auto"/>
          <w:color w:val="auto"/>
        </w:rPr>
        <w:t>Section 4.15(q)</w:t>
      </w:r>
      <w:r>
        <w:rPr>
          <w:rFonts w:ascii="Times New Roman" w:cs="Times New Roman" w:eastAsia="Times New Roman" w:hAnsi="Times New Roman"/>
          <w:sz w:val="14"/>
          <w:szCs w:val="14"/>
          <w:color w:val="auto"/>
        </w:rPr>
        <w:t xml:space="preserve"> of the Disclosure Schedules (and, if the applicable Person has had more than one tax classification for U.S. federal income tax purposes on or subsequent to its formation, then each tax classification of such Person is set forth on </w:t>
      </w:r>
      <w:r>
        <w:rPr>
          <w:rFonts w:ascii="Times New Roman" w:cs="Times New Roman" w:eastAsia="Times New Roman" w:hAnsi="Times New Roman"/>
          <w:sz w:val="14"/>
          <w:szCs w:val="14"/>
          <w:u w:val="single" w:color="auto"/>
          <w:color w:val="auto"/>
        </w:rPr>
        <w:t>Section 4.15(q)</w:t>
      </w:r>
      <w:r>
        <w:rPr>
          <w:rFonts w:ascii="Times New Roman" w:cs="Times New Roman" w:eastAsia="Times New Roman" w:hAnsi="Times New Roman"/>
          <w:sz w:val="14"/>
          <w:szCs w:val="14"/>
          <w:color w:val="auto"/>
        </w:rPr>
        <w:t xml:space="preserve"> of the Disclosure Schedules, along with the dates indicating the period in which such Person was classified as such an entity for U.S. federal income tax purposes).</w:t>
      </w:r>
    </w:p>
    <w:p>
      <w:pPr>
        <w:spacing w:after="0" w:line="2" w:lineRule="exact"/>
        <w:rPr>
          <w:rFonts w:ascii="Times New Roman" w:cs="Times New Roman" w:eastAsia="Times New Roman" w:hAnsi="Times New Roman"/>
          <w:sz w:val="14"/>
          <w:szCs w:val="14"/>
          <w:color w:val="auto"/>
        </w:rPr>
      </w:pPr>
    </w:p>
    <w:p>
      <w:pPr>
        <w:jc w:val="both"/>
        <w:ind w:firstLine="856"/>
        <w:spacing w:after="0" w:line="259" w:lineRule="auto"/>
        <w:tabs>
          <w:tab w:leader="none" w:pos="1194"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Subsidiaries (x) is a “United States person” (as defined in Section 7701(a)(30) of the Code), (y) is a resident for Tax purposes in the “United States” (as defined in Section 7701(a)(9) of the Code), and (z) is not nor has ever had any branch, agency, permanent establishment, or other taxable presence other than in the “United States” (as defined in Section 7701(a)(9) of the Code).</w:t>
      </w:r>
    </w:p>
    <w:p>
      <w:pPr>
        <w:ind w:firstLine="856"/>
        <w:spacing w:after="0" w:line="261" w:lineRule="auto"/>
        <w:tabs>
          <w:tab w:leader="none" w:pos="1239"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Subsidiaries has complied with any rules relevant to any applicable Tax holiday or similar or analogous Tax incentives, and neither such compliance nor such holiday or other incentive shall be negatively affected by the transactions contemplated by this Agreement.</w:t>
      </w:r>
    </w:p>
    <w:p>
      <w:pPr>
        <w:ind w:right="20" w:firstLine="856"/>
        <w:spacing w:after="0" w:line="268" w:lineRule="auto"/>
        <w:tabs>
          <w:tab w:leader="none" w:pos="119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forgiven any debt (other than the write-off of certain accounts receivable or work in process in the ordinary course of business) or received forgiveness of any debt, in any taxable period.</w:t>
      </w:r>
    </w:p>
    <w:p>
      <w:pPr>
        <w:ind w:left="1160" w:hanging="304"/>
        <w:spacing w:after="0"/>
        <w:tabs>
          <w:tab w:leader="none" w:pos="1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is, or ever has been, a partnership described in Treasury Regulations Section 1.1445-11T(d)(1).</w:t>
      </w:r>
    </w:p>
    <w:p>
      <w:pPr>
        <w:spacing w:after="0" w:line="37" w:lineRule="exact"/>
        <w:rPr>
          <w:rFonts w:ascii="Times New Roman" w:cs="Times New Roman" w:eastAsia="Times New Roman" w:hAnsi="Times New Roman"/>
          <w:sz w:val="14"/>
          <w:szCs w:val="14"/>
          <w:color w:val="auto"/>
        </w:rPr>
      </w:pPr>
    </w:p>
    <w:p>
      <w:pPr>
        <w:jc w:val="both"/>
        <w:ind w:firstLine="856"/>
        <w:spacing w:after="0" w:line="259" w:lineRule="auto"/>
        <w:tabs>
          <w:tab w:leader="none" w:pos="118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is or ever has been a “controlled foreign corporation” within the meaning of Code Section 957, a “passive foreign investment company” within the meaning of Code Section 1297 a “United States real property holding corporation” within the meaning of Code Section 897, or a “surrogate foreign corporation” within the meaning of Code Section 7874(a)(2)(B).</w:t>
      </w:r>
    </w:p>
    <w:p>
      <w:pPr>
        <w:ind w:firstLine="856"/>
        <w:spacing w:after="0" w:line="268" w:lineRule="auto"/>
        <w:tabs>
          <w:tab w:leader="none" w:pos="127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Subsidiaries has complied with applicable information reporting and record maintenance requirements in Code Sections 6038, 6038A, and 6038B and the Treasury Regulations thereunder (and any similar provision of state, local, or non-U.S. Law).</w:t>
      </w:r>
    </w:p>
    <w:p>
      <w:pPr>
        <w:ind w:right="20" w:firstLine="856"/>
        <w:spacing w:after="0" w:line="268" w:lineRule="auto"/>
        <w:tabs>
          <w:tab w:leader="none" w:pos="1227"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assets of any of the Company and its Subsidiaries is subject to any Tax partnership agreement or is otherwise treated, or required to be treated, as held in an arrangement requiring</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300"/>
          </w:cols>
          <w:pgMar w:left="300" w:top="290" w:right="2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a partnership Tax Return to be filed under Subchapter K of Chapter 1 of Subtitle A of the Code. Each Seller represents that the Form W-9 it has provided to Buyer pursuant to </w:t>
      </w:r>
      <w:r>
        <w:rPr>
          <w:rFonts w:ascii="Times New Roman" w:cs="Times New Roman" w:eastAsia="Times New Roman" w:hAnsi="Times New Roman"/>
          <w:sz w:val="14"/>
          <w:szCs w:val="14"/>
          <w:u w:val="single" w:color="auto"/>
          <w:color w:val="auto"/>
        </w:rPr>
        <w:t>Section 2.2(b)(vi)(L)</w:t>
      </w:r>
      <w:r>
        <w:rPr>
          <w:rFonts w:ascii="Times New Roman" w:cs="Times New Roman" w:eastAsia="Times New Roman" w:hAnsi="Times New Roman"/>
          <w:sz w:val="14"/>
          <w:szCs w:val="14"/>
          <w:color w:val="auto"/>
        </w:rPr>
        <w:t xml:space="preserve"> of this Agreement is true, correct, and complete as of the Closing Date.</w:t>
      </w:r>
    </w:p>
    <w:p>
      <w:pPr>
        <w:ind w:firstLine="856"/>
        <w:spacing w:after="0" w:line="268" w:lineRule="auto"/>
        <w:tabs>
          <w:tab w:leader="none" w:pos="1191"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Seller acknowledges that Buyer is relying on such provided Form W-9, including for purposes of determining that no U.S. backup withholding is required in connection with the transfers contemplated by this Agreement.</w:t>
      </w:r>
    </w:p>
    <w:p>
      <w:pPr>
        <w:ind w:firstLine="864"/>
        <w:spacing w:after="0" w:line="268" w:lineRule="auto"/>
        <w:rPr>
          <w:sz w:val="20"/>
          <w:szCs w:val="20"/>
          <w:color w:val="auto"/>
        </w:rPr>
      </w:pPr>
      <w:r>
        <w:rPr>
          <w:rFonts w:ascii="Times New Roman" w:cs="Times New Roman" w:eastAsia="Times New Roman" w:hAnsi="Times New Roman"/>
          <w:sz w:val="14"/>
          <w:szCs w:val="14"/>
          <w:color w:val="auto"/>
        </w:rPr>
        <w:t xml:space="preserve">All references to the Company or its Subsidiaries in this </w:t>
      </w:r>
      <w:r>
        <w:rPr>
          <w:rFonts w:ascii="Times New Roman" w:cs="Times New Roman" w:eastAsia="Times New Roman" w:hAnsi="Times New Roman"/>
          <w:sz w:val="14"/>
          <w:szCs w:val="14"/>
          <w:u w:val="single" w:color="auto"/>
          <w:color w:val="auto"/>
        </w:rPr>
        <w:t>Section 4.15</w:t>
      </w:r>
      <w:r>
        <w:rPr>
          <w:rFonts w:ascii="Times New Roman" w:cs="Times New Roman" w:eastAsia="Times New Roman" w:hAnsi="Times New Roman"/>
          <w:sz w:val="14"/>
          <w:szCs w:val="14"/>
          <w:color w:val="auto"/>
        </w:rPr>
        <w:t xml:space="preserve"> shall include references to any Person which merged with and into or liquidated into the Company or such Subsidiary in a transaction in which tax attributes were carried over.</w:t>
      </w: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4.16</w:t>
      </w:r>
      <w:r>
        <w:rPr>
          <w:sz w:val="20"/>
          <w:szCs w:val="20"/>
          <w:color w:val="auto"/>
        </w:rPr>
        <w:tab/>
      </w:r>
      <w:r>
        <w:rPr>
          <w:rFonts w:ascii="Times New Roman" w:cs="Times New Roman" w:eastAsia="Times New Roman" w:hAnsi="Times New Roman"/>
          <w:sz w:val="14"/>
          <w:szCs w:val="14"/>
          <w:u w:val="single" w:color="auto"/>
          <w:color w:val="auto"/>
        </w:rPr>
        <w:t>Environmental Matters.</w:t>
      </w:r>
    </w:p>
    <w:p>
      <w:pPr>
        <w:spacing w:after="0" w:line="37" w:lineRule="exact"/>
        <w:rPr>
          <w:sz w:val="20"/>
          <w:szCs w:val="20"/>
          <w:color w:val="auto"/>
        </w:rPr>
      </w:pPr>
    </w:p>
    <w:p>
      <w:pPr>
        <w:jc w:val="both"/>
        <w:ind w:firstLine="856"/>
        <w:spacing w:after="0" w:line="250" w:lineRule="auto"/>
        <w:tabs>
          <w:tab w:leader="none" w:pos="1251"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Subsidiaries, each is, and for the three years prior to the date hereof has been, in compliance in all material respects with all applicable Environmental Laws. None of the Company, any of its Subsidiaries, or any of its or their executive officers has received during the past three years prior to the date hereof, nor is there any basis for, any notice, request for information, communication or complaint from a Governmental Authority or other Person alleging that the Company or any of its Subsidiaries has any material liability under any Environmental Law or is not in compliance with any Environmental Law in any material respect.</w:t>
      </w:r>
    </w:p>
    <w:p>
      <w:pPr>
        <w:spacing w:after="0" w:line="4" w:lineRule="exact"/>
        <w:rPr>
          <w:rFonts w:ascii="Times New Roman" w:cs="Times New Roman" w:eastAsia="Times New Roman" w:hAnsi="Times New Roman"/>
          <w:sz w:val="14"/>
          <w:szCs w:val="14"/>
          <w:color w:val="auto"/>
        </w:rPr>
      </w:pPr>
    </w:p>
    <w:p>
      <w:pPr>
        <w:jc w:val="both"/>
        <w:ind w:firstLine="856"/>
        <w:spacing w:after="0" w:line="244" w:lineRule="auto"/>
        <w:tabs>
          <w:tab w:leader="none" w:pos="121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in material compliance with applicable Environmental Laws, no Hazardous Substances are or have been present, and there is and has been no Release or threatened Release of Hazardous Substances nor any Remediation or corrective action of any kind relating thereto, on, in, at or under any properties (including any buildings, structures, improvements, soils or subsurface strata, surface water bodies or drainage ways, and ground waters thereof) (i) currently or formerly owned, leased or operated by or for the Company or any of its Subsidiaries or any predecessor company; (ii) to which the Company or any of its Subsidiaries has sent any Hazardous Substances; or (iii) with respect to which the Company or any of its Subsidiaries may be liable. No underground improvement, including any treatment or storage tank or water, gas or oil well, is or has been located on any property described in the foregoing sentence. The Company and its Subsidiaries have not disposed or arranged for disposal of, transported, stored, handled, or exposed any Person to Hazardous Substances as would reasonably be expected to give rise to material liability under any Environmental Law. There has been no Release of, threatened Release of or contamination by Hazardous Substances for which the Company or any of its Subsidiaries is actually, contingently, potentially or allegedly liable under any Environmental Law. Each of the Company and its Subsidiaries has developed and implemented internal controls, policies, and procedures designed to ensure material compliance with any applicable national, regional or local Environmental Laws, and the Company and its Subsidiaries enforce such controls, policies and procedures.</w:t>
      </w:r>
    </w:p>
    <w:p>
      <w:pPr>
        <w:spacing w:after="0" w:line="173" w:lineRule="exact"/>
        <w:rPr>
          <w:rFonts w:ascii="Times New Roman" w:cs="Times New Roman" w:eastAsia="Times New Roman" w:hAnsi="Times New Roman"/>
          <w:sz w:val="14"/>
          <w:szCs w:val="14"/>
          <w:color w:val="auto"/>
        </w:rPr>
      </w:pPr>
    </w:p>
    <w:p>
      <w:pPr>
        <w:ind w:right="20" w:firstLine="856"/>
        <w:spacing w:after="0" w:line="268" w:lineRule="auto"/>
        <w:tabs>
          <w:tab w:leader="none" w:pos="1194"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pending or, to the Knowledge of the Company, threatened investigation by any Governmental Authority, nor any pending or, to the Knowledge of the Company, threatened Action with respect to the Company or any of its Subsidiaries relating to Hazardous Substances or otherwise under any Environmental Law.</w:t>
      </w:r>
    </w:p>
    <w:p>
      <w:pPr>
        <w:jc w:val="both"/>
        <w:ind w:firstLine="856"/>
        <w:spacing w:after="0" w:line="254" w:lineRule="auto"/>
        <w:tabs>
          <w:tab w:leader="none" w:pos="117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its Subsidiaries holds all Environmental Permits necessary for the operation of its normal business operations, and is and has for the three years prior to the date hereof been in compliance therewith. Neither the execution, delivery or performance of this Agreement nor the consummation of the transactions contemplated hereby will (i) require any notice to or consent of any Governmental Authority or other Person pursuant to any applicable Environmental Law or Environmental Permit or (ii) subject any Environmental Permit to suspension, cancellation, modification, revocation or nonrenewal.</w:t>
      </w:r>
    </w:p>
    <w:p>
      <w:pPr>
        <w:spacing w:after="0" w:line="2" w:lineRule="exact"/>
        <w:rPr>
          <w:rFonts w:ascii="Times New Roman" w:cs="Times New Roman" w:eastAsia="Times New Roman" w:hAnsi="Times New Roman"/>
          <w:sz w:val="14"/>
          <w:szCs w:val="14"/>
          <w:color w:val="auto"/>
        </w:rPr>
      </w:pPr>
    </w:p>
    <w:p>
      <w:pPr>
        <w:jc w:val="both"/>
        <w:ind w:right="20" w:firstLine="856"/>
        <w:spacing w:after="0" w:line="255" w:lineRule="auto"/>
        <w:tabs>
          <w:tab w:leader="none" w:pos="1175"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have made available to the Buyer all Environmental Permits, audits and other material reports pertaining to compliance with Environmental Law and all “Phase I,” “Phase II” or other environmental reports in their possession, or to which they have reasonable access, addressing every location owned, operated or leased by the Company or any of its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300"/>
          </w:cols>
          <w:pgMar w:left="300" w:top="290" w:right="2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148" w:hanging="284"/>
        <w:spacing w:after="0"/>
        <w:tabs>
          <w:tab w:leader="none" w:pos="1148"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Agreement:</w:t>
      </w:r>
    </w:p>
    <w:p>
      <w:pPr>
        <w:spacing w:after="0" w:line="37" w:lineRule="exact"/>
        <w:rPr>
          <w:rFonts w:ascii="Times New Roman" w:cs="Times New Roman" w:eastAsia="Times New Roman" w:hAnsi="Times New Roman"/>
          <w:sz w:val="14"/>
          <w:szCs w:val="14"/>
          <w:color w:val="auto"/>
        </w:rPr>
      </w:pPr>
    </w:p>
    <w:p>
      <w:pPr>
        <w:jc w:val="both"/>
        <w:ind w:left="8" w:firstLine="1288"/>
        <w:spacing w:after="0" w:line="259" w:lineRule="auto"/>
        <w:tabs>
          <w:tab w:leader="none" w:pos="1674" w:val="left"/>
        </w:tabs>
        <w:numPr>
          <w:ilvl w:val="2"/>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means: any Laws of any Governmental Authority relating to (A) Releases or threatened Releases of Hazardous Substances or materials containing Hazardous Substances; (B) the manufacture, handling, transport, use, treatment, storage or disposal of Hazardous Substances or materials containing Hazardous Substances; or (C) pollution or protection of the environment, health, safety or natural resources.</w:t>
      </w:r>
    </w:p>
    <w:p>
      <w:pPr>
        <w:ind w:left="1608" w:hanging="312"/>
        <w:spacing w:after="0"/>
        <w:tabs>
          <w:tab w:leader="none" w:pos="1608" w:val="left"/>
        </w:tabs>
        <w:numPr>
          <w:ilvl w:val="2"/>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Permits</w:t>
      </w:r>
      <w:r>
        <w:rPr>
          <w:rFonts w:ascii="Times New Roman" w:cs="Times New Roman" w:eastAsia="Times New Roman" w:hAnsi="Times New Roman"/>
          <w:sz w:val="14"/>
          <w:szCs w:val="14"/>
          <w:color w:val="auto"/>
        </w:rPr>
        <w:t>” means all Permits required under any Environmental Law.</w:t>
      </w:r>
    </w:p>
    <w:p>
      <w:pPr>
        <w:spacing w:after="0" w:line="37" w:lineRule="exact"/>
        <w:rPr>
          <w:rFonts w:ascii="Times New Roman" w:cs="Times New Roman" w:eastAsia="Times New Roman" w:hAnsi="Times New Roman"/>
          <w:sz w:val="14"/>
          <w:szCs w:val="14"/>
          <w:color w:val="auto"/>
        </w:rPr>
      </w:pPr>
    </w:p>
    <w:p>
      <w:pPr>
        <w:jc w:val="both"/>
        <w:ind w:left="8" w:firstLine="1288"/>
        <w:spacing w:after="0" w:line="246" w:lineRule="auto"/>
        <w:tabs>
          <w:tab w:leader="none" w:pos="1736" w:val="left"/>
        </w:tabs>
        <w:numPr>
          <w:ilvl w:val="2"/>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Hazardous Substances</w:t>
      </w:r>
      <w:r>
        <w:rPr>
          <w:rFonts w:ascii="Times New Roman" w:cs="Times New Roman" w:eastAsia="Times New Roman" w:hAnsi="Times New Roman"/>
          <w:sz w:val="14"/>
          <w:szCs w:val="14"/>
          <w:color w:val="auto"/>
        </w:rPr>
        <w:t>” means: (A) those substances defined in or regulated under the Hazardous Materials Transportation Act, the Resource Conservation and Recovery Act, the Comprehensive Environmental Response, Compensation and Liability Act (“</w:t>
      </w:r>
      <w:r>
        <w:rPr>
          <w:rFonts w:ascii="Times New Roman" w:cs="Times New Roman" w:eastAsia="Times New Roman" w:hAnsi="Times New Roman"/>
          <w:sz w:val="14"/>
          <w:szCs w:val="14"/>
          <w:u w:val="single" w:color="auto"/>
          <w:color w:val="auto"/>
        </w:rPr>
        <w:t>CERCLA</w:t>
      </w:r>
      <w:r>
        <w:rPr>
          <w:rFonts w:ascii="Times New Roman" w:cs="Times New Roman" w:eastAsia="Times New Roman" w:hAnsi="Times New Roman"/>
          <w:sz w:val="14"/>
          <w:szCs w:val="14"/>
          <w:color w:val="auto"/>
        </w:rPr>
        <w:t>”), the Clean Water Act, the Safe Drinking Water Act, the Atomic Energy Act, the Toxic Substances Control Act, the Federal Insecticide, Fungicide, and Rodenticide Act and the Clean Air Act, and their state counterparts, as each may be amended from time to time, and all regulations thereunder; (B) petroleum and petroleum products, including crude oil and any fractions thereof; (C) natural gas, synthetic gas, and any mixtures thereof; (D) lead, polychlorinated biphenyls, perfluoroalkyl and polyfluoroalkyl substances, asbestos and radon; and (E) any pollutant, contaminant, substance, material, waste, or words of similar import regulated by any Governmental Authority pursuant to any Environmental Law.</w:t>
      </w:r>
    </w:p>
    <w:p>
      <w:pPr>
        <w:spacing w:after="0" w:line="8" w:lineRule="exact"/>
        <w:rPr>
          <w:rFonts w:ascii="Times New Roman" w:cs="Times New Roman" w:eastAsia="Times New Roman" w:hAnsi="Times New Roman"/>
          <w:sz w:val="14"/>
          <w:szCs w:val="14"/>
          <w:color w:val="auto"/>
        </w:rPr>
      </w:pPr>
    </w:p>
    <w:p>
      <w:pPr>
        <w:ind w:left="1648" w:hanging="352"/>
        <w:spacing w:after="0"/>
        <w:tabs>
          <w:tab w:leader="none" w:pos="1648" w:val="left"/>
        </w:tabs>
        <w:numPr>
          <w:ilvl w:val="2"/>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Release</w:t>
      </w:r>
      <w:r>
        <w:rPr>
          <w:rFonts w:ascii="Times New Roman" w:cs="Times New Roman" w:eastAsia="Times New Roman" w:hAnsi="Times New Roman"/>
          <w:sz w:val="14"/>
          <w:szCs w:val="14"/>
          <w:color w:val="auto"/>
        </w:rPr>
        <w:t>” has the meaning set forth in Section 101(22) of CERCLA (42 U.S.C. § 9601(22)), but not subject to the exceptions in Subsections (A) and (D) of 42 U.S.C.</w:t>
      </w:r>
    </w:p>
    <w:p>
      <w:pPr>
        <w:spacing w:after="0" w:line="17" w:lineRule="exact"/>
        <w:rPr>
          <w:rFonts w:ascii="Times New Roman" w:cs="Times New Roman" w:eastAsia="Times New Roman" w:hAnsi="Times New Roman"/>
          <w:sz w:val="14"/>
          <w:szCs w:val="14"/>
          <w:color w:val="auto"/>
        </w:rPr>
      </w:pPr>
    </w:p>
    <w:p>
      <w:pPr>
        <w:ind w:left="108" w:hanging="108"/>
        <w:spacing w:after="0"/>
        <w:tabs>
          <w:tab w:leader="none" w:pos="10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9601(22).</w:t>
      </w:r>
    </w:p>
    <w:p>
      <w:pPr>
        <w:spacing w:after="0" w:line="21" w:lineRule="exact"/>
        <w:rPr>
          <w:rFonts w:ascii="Times New Roman" w:cs="Times New Roman" w:eastAsia="Times New Roman" w:hAnsi="Times New Roman"/>
          <w:sz w:val="14"/>
          <w:szCs w:val="14"/>
          <w:color w:val="auto"/>
        </w:rPr>
      </w:pPr>
    </w:p>
    <w:p>
      <w:pPr>
        <w:jc w:val="both"/>
        <w:ind w:left="8" w:firstLine="1288"/>
        <w:spacing w:after="0" w:line="259" w:lineRule="auto"/>
        <w:tabs>
          <w:tab w:leader="none" w:pos="1643" w:val="left"/>
        </w:tabs>
        <w:numPr>
          <w:ilvl w:val="2"/>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Remediation</w:t>
      </w:r>
      <w:r>
        <w:rPr>
          <w:rFonts w:ascii="Times New Roman" w:cs="Times New Roman" w:eastAsia="Times New Roman" w:hAnsi="Times New Roman"/>
          <w:sz w:val="14"/>
          <w:szCs w:val="14"/>
          <w:color w:val="auto"/>
        </w:rPr>
        <w:t>” means (A) any remedial action, remedy, response or removal action as those terms are defined in 42 U.S.C. § 9601, (B) any corrective action as that term has been construed pursuant to 42 U.S.C. § 6924, and (C) any measures or actions required or undertaken to investigate, assess, evaluate, monitor, or otherwise delineate the presence or Release of any Hazardous Substance in or into the environment or to prevent, clean up or minimize a Release or threatened release of Hazardous Substances.</w:t>
      </w: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4.17  </w:t>
      </w:r>
      <w:r>
        <w:rPr>
          <w:rFonts w:ascii="Times New Roman" w:cs="Times New Roman" w:eastAsia="Times New Roman" w:hAnsi="Times New Roman"/>
          <w:sz w:val="14"/>
          <w:szCs w:val="14"/>
          <w:u w:val="single" w:color="auto"/>
          <w:color w:val="auto"/>
        </w:rPr>
        <w:t>Material Contracts.</w:t>
      </w:r>
    </w:p>
    <w:p>
      <w:pPr>
        <w:spacing w:after="0" w:line="37" w:lineRule="exact"/>
        <w:rPr>
          <w:rFonts w:ascii="Times New Roman" w:cs="Times New Roman" w:eastAsia="Times New Roman" w:hAnsi="Times New Roman"/>
          <w:sz w:val="14"/>
          <w:szCs w:val="14"/>
          <w:color w:val="auto"/>
        </w:rPr>
      </w:pPr>
    </w:p>
    <w:p>
      <w:pPr>
        <w:ind w:left="8" w:firstLine="856"/>
        <w:spacing w:after="0" w:line="261" w:lineRule="auto"/>
        <w:tabs>
          <w:tab w:leader="none" w:pos="1216"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4.17(a)</w:t>
      </w:r>
      <w:r>
        <w:rPr>
          <w:rFonts w:ascii="Times New Roman" w:cs="Times New Roman" w:eastAsia="Times New Roman" w:hAnsi="Times New Roman"/>
          <w:sz w:val="14"/>
          <w:szCs w:val="14"/>
          <w:color w:val="auto"/>
        </w:rPr>
        <w:t xml:space="preserve"> of the Disclosure Schedules, neither the Company nor any of its Subsidiaries is a party to or bound by any Contract of the following nature (such Contracts, which are required to be set forth in </w:t>
      </w:r>
      <w:r>
        <w:rPr>
          <w:rFonts w:ascii="Times New Roman" w:cs="Times New Roman" w:eastAsia="Times New Roman" w:hAnsi="Times New Roman"/>
          <w:sz w:val="14"/>
          <w:szCs w:val="14"/>
          <w:u w:val="single" w:color="auto"/>
          <w:color w:val="auto"/>
        </w:rPr>
        <w:t>Section 4.17(a)</w:t>
      </w:r>
      <w:r>
        <w:rPr>
          <w:rFonts w:ascii="Times New Roman" w:cs="Times New Roman" w:eastAsia="Times New Roman" w:hAnsi="Times New Roman"/>
          <w:sz w:val="14"/>
          <w:szCs w:val="14"/>
          <w:color w:val="auto"/>
        </w:rPr>
        <w:t xml:space="preserve"> of the Disclosure Schedules, being “</w:t>
      </w:r>
      <w:r>
        <w:rPr>
          <w:rFonts w:ascii="Times New Roman" w:cs="Times New Roman" w:eastAsia="Times New Roman" w:hAnsi="Times New Roman"/>
          <w:sz w:val="14"/>
          <w:szCs w:val="14"/>
          <w:u w:val="single" w:color="auto"/>
          <w:color w:val="auto"/>
        </w:rPr>
        <w:t>Material Contracts</w:t>
      </w:r>
      <w:r>
        <w:rPr>
          <w:rFonts w:ascii="Times New Roman" w:cs="Times New Roman" w:eastAsia="Times New Roman" w:hAnsi="Times New Roman"/>
          <w:sz w:val="14"/>
          <w:szCs w:val="14"/>
          <w:color w:val="auto"/>
        </w:rPr>
        <w:t>”):</w:t>
      </w:r>
    </w:p>
    <w:p>
      <w:pPr>
        <w:jc w:val="both"/>
        <w:ind w:left="8" w:firstLine="1288"/>
        <w:spacing w:after="0" w:line="269" w:lineRule="auto"/>
        <w:tabs>
          <w:tab w:leader="none" w:pos="1597"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Contracts relating to capital expenditures or other purchases that, individually or in the aggregate, involve an annual expenditure by the Company or its Subsidiaries in excess of $150,000, except as set forth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and for any Contract that can be terminated by such Company or its Subsidiaries upon not more than ninety days’ written notice without penalty;</w:t>
      </w:r>
    </w:p>
    <w:p>
      <w:pPr>
        <w:spacing w:after="0" w:line="161" w:lineRule="exact"/>
        <w:rPr>
          <w:rFonts w:ascii="Times New Roman" w:cs="Times New Roman" w:eastAsia="Times New Roman" w:hAnsi="Times New Roman"/>
          <w:sz w:val="14"/>
          <w:szCs w:val="14"/>
          <w:color w:val="auto"/>
        </w:rPr>
      </w:pPr>
    </w:p>
    <w:p>
      <w:pPr>
        <w:jc w:val="both"/>
        <w:ind w:left="8" w:firstLine="1288"/>
        <w:spacing w:after="0" w:line="254" w:lineRule="auto"/>
        <w:tabs>
          <w:tab w:leader="none" w:pos="1630"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Contract relating to or evidencing Indebtedness (including solely for purposes of this </w:t>
      </w:r>
      <w:r>
        <w:rPr>
          <w:rFonts w:ascii="Times New Roman" w:cs="Times New Roman" w:eastAsia="Times New Roman" w:hAnsi="Times New Roman"/>
          <w:sz w:val="14"/>
          <w:szCs w:val="14"/>
          <w:u w:val="single" w:color="auto"/>
          <w:color w:val="auto"/>
        </w:rPr>
        <w:t>Section 4.17(a)(ii)</w:t>
      </w:r>
      <w:r>
        <w:rPr>
          <w:rFonts w:ascii="Times New Roman" w:cs="Times New Roman" w:eastAsia="Times New Roman" w:hAnsi="Times New Roman"/>
          <w:sz w:val="14"/>
          <w:szCs w:val="14"/>
          <w:color w:val="auto"/>
        </w:rPr>
        <w:t>, notwithstanding the definition of Indebtedness, any letters of credit, whether drawn or undrawn and specifying the letter of credit number, the obligors, the issuing bank, the face amount, the expiry date, the credit or lease facility such letter of credit is required under, whether such letter of credit has been drawn, and if so, the drawn amount) or, other than Permitted Encumbrances, mortgaging, pledging or otherwise placing an Encumbrance on any of the assets or properties of the Company and or its Subsidiaries;</w:t>
      </w:r>
    </w:p>
    <w:p>
      <w:pPr>
        <w:spacing w:after="0" w:line="2" w:lineRule="exact"/>
        <w:rPr>
          <w:rFonts w:ascii="Times New Roman" w:cs="Times New Roman" w:eastAsia="Times New Roman" w:hAnsi="Times New Roman"/>
          <w:sz w:val="14"/>
          <w:szCs w:val="14"/>
          <w:color w:val="auto"/>
        </w:rPr>
      </w:pPr>
    </w:p>
    <w:p>
      <w:pPr>
        <w:ind w:left="8" w:firstLine="1288"/>
        <w:spacing w:after="0" w:line="268" w:lineRule="auto"/>
        <w:tabs>
          <w:tab w:leader="none" w:pos="1667"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pursuant to which the Company or any of its Subsidiaries has provided funds to or made any loan, capital contribution or other investment in, or assumed any liability or obligation of, any Person, including take-or-pay contracts or keepwell agreements;</w:t>
      </w:r>
    </w:p>
    <w:p>
      <w:pPr>
        <w:ind w:left="1648" w:hanging="352"/>
        <w:spacing w:after="0"/>
        <w:tabs>
          <w:tab w:leader="none" w:pos="1648"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with any Governmental Authority;</w:t>
      </w:r>
    </w:p>
    <w:p>
      <w:pPr>
        <w:spacing w:after="0" w:line="28" w:lineRule="exact"/>
        <w:rPr>
          <w:rFonts w:ascii="Times New Roman" w:cs="Times New Roman" w:eastAsia="Times New Roman" w:hAnsi="Times New Roman"/>
          <w:sz w:val="14"/>
          <w:szCs w:val="14"/>
          <w:color w:val="auto"/>
        </w:rPr>
      </w:pPr>
    </w:p>
    <w:p>
      <w:pPr>
        <w:ind w:left="1608" w:hanging="312"/>
        <w:spacing w:after="0"/>
        <w:tabs>
          <w:tab w:leader="none" w:pos="1608" w:val="left"/>
        </w:tabs>
        <w:numPr>
          <w:ilvl w:val="2"/>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the organizational documents of the Company or its Subsidiaries, any Contract with any Related Party of the Company or any of its Subsidiaries;</w:t>
      </w:r>
    </w:p>
    <w:p>
      <w:pPr>
        <w:spacing w:after="0" w:line="200" w:lineRule="exact"/>
        <w:rPr>
          <w:sz w:val="20"/>
          <w:szCs w:val="20"/>
          <w:color w:val="auto"/>
        </w:rPr>
      </w:pPr>
    </w:p>
    <w:p>
      <w:pPr>
        <w:spacing w:after="0" w:line="2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308"/>
          </w:cols>
          <w:pgMar w:left="292" w:top="290" w:right="2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1288"/>
        <w:spacing w:after="0" w:line="259" w:lineRule="auto"/>
        <w:tabs>
          <w:tab w:leader="none" w:pos="1692"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limits, or purports to limit, the ability of the Company or any of its Subsidiaries to compete in any line of business or with any Person or in any geographic area or during any period of time, or that restricts the right of the Company and its Subsidiaries to sell to or purchase from any Person or to hire any Person, or that grants the other party or any third person “most favored nation” status or any type of special discount rights;</w:t>
      </w:r>
    </w:p>
    <w:p>
      <w:pPr>
        <w:ind w:right="20" w:firstLine="1288"/>
        <w:spacing w:after="0" w:line="268" w:lineRule="auto"/>
        <w:tabs>
          <w:tab w:leader="none" w:pos="17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that requires a consent to or otherwise contains a provision relating to a “change of control,” or that would prohibit or delay the consummation of the transactions contemplated by this Agreement or the Ancillary Agreements;</w:t>
      </w:r>
    </w:p>
    <w:p>
      <w:pPr>
        <w:jc w:val="both"/>
        <w:ind w:firstLine="1288"/>
        <w:spacing w:after="0" w:line="254" w:lineRule="auto"/>
        <w:tabs>
          <w:tab w:leader="none" w:pos="174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pursuant to which the Company or any of its Subsidiaries is the lessee or lessor of, or holds, uses, or makes available for use to any Person (other than the Company or any of its Subsidiaries), (A) any real property or (B) any tangible personal property (with or without services), that involves an aggregate future or potential liability or receivable with any Material Customer, as the case may be, in excess of $150,000;</w:t>
      </w:r>
    </w:p>
    <w:p>
      <w:pPr>
        <w:spacing w:after="0" w:line="2" w:lineRule="exact"/>
        <w:rPr>
          <w:sz w:val="20"/>
          <w:szCs w:val="20"/>
          <w:color w:val="auto"/>
        </w:rPr>
      </w:pPr>
    </w:p>
    <w:p>
      <w:pPr>
        <w:ind w:right="20" w:firstLine="1296"/>
        <w:spacing w:after="0" w:line="268" w:lineRule="auto"/>
        <w:rPr>
          <w:sz w:val="20"/>
          <w:szCs w:val="20"/>
          <w:color w:val="auto"/>
        </w:rPr>
      </w:pPr>
      <w:r>
        <w:rPr>
          <w:rFonts w:ascii="Times New Roman" w:cs="Times New Roman" w:eastAsia="Times New Roman" w:hAnsi="Times New Roman"/>
          <w:sz w:val="14"/>
          <w:szCs w:val="14"/>
          <w:color w:val="auto"/>
        </w:rPr>
        <w:t xml:space="preserve">(ix any Contract for the sale or purchase of any real property, or for the sale or purchase of any tangible personal property in an amount in excess of $100,000 except for any Contract required to be disclosed pursuant to </w:t>
      </w:r>
      <w:r>
        <w:rPr>
          <w:rFonts w:ascii="Times New Roman" w:cs="Times New Roman" w:eastAsia="Times New Roman" w:hAnsi="Times New Roman"/>
          <w:sz w:val="14"/>
          <w:szCs w:val="14"/>
          <w:u w:val="single" w:color="auto"/>
          <w:color w:val="auto"/>
        </w:rPr>
        <w:t>Section 4.17(a)(vii)</w:t>
      </w:r>
      <w:r>
        <w:rPr>
          <w:rFonts w:ascii="Times New Roman" w:cs="Times New Roman" w:eastAsia="Times New Roman" w:hAnsi="Times New Roman"/>
          <w:sz w:val="14"/>
          <w:szCs w:val="14"/>
          <w:color w:val="auto"/>
        </w:rPr>
        <w:t xml:space="preserve"> and as set forth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w:t>
      </w:r>
    </w:p>
    <w:p>
      <w:pPr>
        <w:ind w:firstLine="1288"/>
        <w:spacing w:after="0" w:line="268" w:lineRule="auto"/>
        <w:tabs>
          <w:tab w:leader="none" w:pos="1672"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providing for indemnification to or from any Person with respect to liabilities relating to any current or former business of the Company, any of its Subsidiaries or any predecessor Person, excluding indemnification provided by the Company or any of its Subsidiaries to customers in the ordinary course of business;</w:t>
      </w:r>
    </w:p>
    <w:p>
      <w:pPr>
        <w:jc w:val="both"/>
        <w:ind w:firstLine="1288"/>
        <w:spacing w:after="0" w:line="251" w:lineRule="auto"/>
        <w:tabs>
          <w:tab w:leader="none" w:pos="1648"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 Inbound License Agreement other than (1) a nonexclusive object code only license of commercially available “off-the-shelf” software, for an aggregate license fee of no more than $50,000 annually, (2) a license for Open Source Materials, and (3) Contracts including licenses for software preinstalled as a standard part of hardware or equipment purchased or used by the Company or its Subsidiaries; (B) Outbound License Agreement other than pursuant to non-exclusive agreements to provide the Company products and services to customers in the form of the Company’s standard contract entered into in the ordinary course of business consistent with past practice; or (C) Contract that limits the Company’s or any of its Subsidiaries’ rights to use, or enforce or register Intellectual Property owned, used, or held for use by the Company or any of its Subsidiaries, including covenants not to sue and co-existence agreements;</w:t>
      </w:r>
    </w:p>
    <w:p>
      <w:pPr>
        <w:spacing w:after="0" w:line="4" w:lineRule="exact"/>
        <w:rPr>
          <w:rFonts w:ascii="Times New Roman" w:cs="Times New Roman" w:eastAsia="Times New Roman" w:hAnsi="Times New Roman"/>
          <w:sz w:val="14"/>
          <w:szCs w:val="14"/>
          <w:color w:val="auto"/>
        </w:rPr>
      </w:pPr>
    </w:p>
    <w:p>
      <w:pPr>
        <w:ind w:left="1680" w:hanging="392"/>
        <w:spacing w:after="0"/>
        <w:tabs>
          <w:tab w:leader="none" w:pos="168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relating to any joint venture, partnership or other similar agreement or arrangement;</w:t>
      </w:r>
    </w:p>
    <w:p>
      <w:pPr>
        <w:spacing w:after="0" w:line="37" w:lineRule="exact"/>
        <w:rPr>
          <w:rFonts w:ascii="Times New Roman" w:cs="Times New Roman" w:eastAsia="Times New Roman" w:hAnsi="Times New Roman"/>
          <w:sz w:val="14"/>
          <w:szCs w:val="14"/>
          <w:color w:val="auto"/>
        </w:rPr>
      </w:pPr>
    </w:p>
    <w:p>
      <w:pPr>
        <w:ind w:right="20" w:firstLine="1288"/>
        <w:spacing w:after="0" w:line="261" w:lineRule="auto"/>
        <w:tabs>
          <w:tab w:leader="none" w:pos="1773"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providing for any merger, acquisition or disposition transaction involving any Person or any business unit or division thereof, or any other assets or liabilities that are material to the Company or its Subsidiaries;</w:t>
      </w:r>
    </w:p>
    <w:p>
      <w:pPr>
        <w:ind w:left="1720" w:hanging="432"/>
        <w:spacing w:after="0"/>
        <w:tabs>
          <w:tab w:leader="none" w:pos="172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with any labor union;</w:t>
      </w:r>
    </w:p>
    <w:p>
      <w:pPr>
        <w:spacing w:after="0" w:line="37" w:lineRule="exact"/>
        <w:rPr>
          <w:rFonts w:ascii="Times New Roman" w:cs="Times New Roman" w:eastAsia="Times New Roman" w:hAnsi="Times New Roman"/>
          <w:sz w:val="14"/>
          <w:szCs w:val="14"/>
          <w:color w:val="auto"/>
        </w:rPr>
      </w:pPr>
    </w:p>
    <w:p>
      <w:pPr>
        <w:ind w:left="1680" w:hanging="392"/>
        <w:spacing w:after="0"/>
        <w:tabs>
          <w:tab w:leader="none" w:pos="168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relating to settlement or other final disposition of any Action since January 1, 2023;</w:t>
      </w:r>
    </w:p>
    <w:p>
      <w:pPr>
        <w:spacing w:after="0" w:line="37"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hedging, futures, options or other derivative Contract;</w:t>
      </w:r>
    </w:p>
    <w:p>
      <w:pPr>
        <w:spacing w:after="0" w:line="37" w:lineRule="exact"/>
        <w:rPr>
          <w:rFonts w:ascii="Times New Roman" w:cs="Times New Roman" w:eastAsia="Times New Roman" w:hAnsi="Times New Roman"/>
          <w:sz w:val="14"/>
          <w:szCs w:val="14"/>
          <w:color w:val="auto"/>
        </w:rPr>
      </w:pPr>
    </w:p>
    <w:p>
      <w:pPr>
        <w:ind w:firstLine="1288"/>
        <w:spacing w:after="0" w:line="268" w:lineRule="auto"/>
        <w:tabs>
          <w:tab w:leader="none" w:pos="1802"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for the purchase of any debt or equity security or other ownership interest of any Person, or for the issuance of any debt or equity security or other ownership interest, or the conversion of any obligation, instrument or security into debt or equity securities or other ownership interests of, the Company or</w:t>
      </w:r>
    </w:p>
    <w:p>
      <w:pPr>
        <w:jc w:val="both"/>
        <w:ind w:firstLine="1288"/>
        <w:spacing w:after="0" w:line="269" w:lineRule="auto"/>
        <w:tabs>
          <w:tab w:leader="none" w:pos="1703"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its Subsidiaries, in each case, that remain unsatisfied as of immediately prior to the execution of this Agreement; or any Contract that results in any Person holding a power of attorney from the Company or any of its Subsidiaries that relates to the Company, any of its Subsidiaries or its or their respective businesses other than in the ordinary course of business.</w:t>
      </w:r>
    </w:p>
    <w:p>
      <w:pPr>
        <w:spacing w:after="0" w:line="161" w:lineRule="exact"/>
        <w:rPr>
          <w:rFonts w:ascii="Times New Roman" w:cs="Times New Roman" w:eastAsia="Times New Roman" w:hAnsi="Times New Roman"/>
          <w:sz w:val="14"/>
          <w:szCs w:val="14"/>
          <w:color w:val="auto"/>
        </w:rPr>
      </w:pPr>
    </w:p>
    <w:p>
      <w:pPr>
        <w:ind w:left="1200" w:hanging="344"/>
        <w:spacing w:after="0"/>
        <w:tabs>
          <w:tab w:leader="none" w:pos="12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Material Contract is a legal, valid, binding and enforceable agreement and is in full force and effect and will continue to be in full force and effect on identical terms</w:t>
      </w:r>
    </w:p>
    <w:p>
      <w:pPr>
        <w:spacing w:after="0" w:line="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300"/>
          </w:cols>
          <w:pgMar w:left="300" w:top="290" w:right="2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following the date hereof. None of the Company or any of its Subsidiaries or, to the Knowledge of the Company, any other party is in breach or violation of, or (with or without notice or lapse of time or both) default under, any Material Contract in any material respect, nor has the Company or any of its Subsidiaries received any written claim or notice of any such breach, violation or default. The Company has delivered or made available to the Buyer true and complete copies of all Material Contracts, including any amendments thereto.</w:t>
      </w:r>
    </w:p>
    <w:p>
      <w:pPr>
        <w:spacing w:after="0" w:line="1"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4.18</w:t>
      </w:r>
      <w:r>
        <w:rPr>
          <w:sz w:val="20"/>
          <w:szCs w:val="20"/>
          <w:color w:val="auto"/>
        </w:rPr>
        <w:tab/>
      </w:r>
      <w:r>
        <w:rPr>
          <w:rFonts w:ascii="Times New Roman" w:cs="Times New Roman" w:eastAsia="Times New Roman" w:hAnsi="Times New Roman"/>
          <w:sz w:val="14"/>
          <w:szCs w:val="14"/>
          <w:u w:val="single" w:color="auto"/>
          <w:color w:val="auto"/>
        </w:rPr>
        <w:t>Affiliate Interests and Transactions.</w:t>
      </w:r>
    </w:p>
    <w:p>
      <w:pPr>
        <w:spacing w:after="0" w:line="37" w:lineRule="exact"/>
        <w:rPr>
          <w:sz w:val="20"/>
          <w:szCs w:val="20"/>
          <w:color w:val="auto"/>
        </w:rPr>
      </w:pPr>
    </w:p>
    <w:p>
      <w:pPr>
        <w:jc w:val="both"/>
        <w:ind w:firstLine="856"/>
        <w:spacing w:after="0" w:line="245" w:lineRule="auto"/>
        <w:tabs>
          <w:tab w:leader="none" w:pos="1203"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(i) Related Party of the Sellers Representative, the Company or any of its Subsidiaries owns or has owned, directly or indirectly, any equity or other financial or voting interest in any material competitor, supplier, licensor, lessor, distributor, independent contractor or customer of the Company or any of its Subsidiaries or its or their business greater than five percent; (ii) Seller owns or has owned for the three years prior to the date hereof, directly or indirectly, or has or has had any interest in any property (real or personal, tangible or intangible) that the Company or any of its Subsidiaries uses or has used in or pertaining to the business of the Company or any of its Subsidiaries; (iii) Seller has or has had any business dealings or a financial interest in any transaction with the Company or any of its Subsidiaries or involving any assets or property of the Company or any of its Subsidiaries, other than business dealings or transactions conducted in the ordinary course of business at prevailing market prices and on prevailing market terms; or (iv) Seller, except as disclosed in </w:t>
      </w:r>
      <w:r>
        <w:rPr>
          <w:rFonts w:ascii="Times New Roman" w:cs="Times New Roman" w:eastAsia="Times New Roman" w:hAnsi="Times New Roman"/>
          <w:sz w:val="14"/>
          <w:szCs w:val="14"/>
          <w:u w:val="single" w:color="auto"/>
          <w:color w:val="auto"/>
        </w:rPr>
        <w:t>Section 4.18(a)</w:t>
      </w:r>
      <w:r>
        <w:rPr>
          <w:rFonts w:ascii="Times New Roman" w:cs="Times New Roman" w:eastAsia="Times New Roman" w:hAnsi="Times New Roman"/>
          <w:sz w:val="14"/>
          <w:szCs w:val="14"/>
          <w:color w:val="auto"/>
        </w:rPr>
        <w:t xml:space="preserve"> of the Disclosure Schedules, is or has been employed by the Company or its Subsidiaries. Ownership of securities that are registered under the Exchange Act representing 5% or less of any class of such securities shall not be deemed to be a financial interest for purposes of this </w:t>
      </w:r>
      <w:r>
        <w:rPr>
          <w:rFonts w:ascii="Times New Roman" w:cs="Times New Roman" w:eastAsia="Times New Roman" w:hAnsi="Times New Roman"/>
          <w:sz w:val="14"/>
          <w:szCs w:val="14"/>
          <w:u w:val="single" w:color="auto"/>
          <w:color w:val="auto"/>
        </w:rPr>
        <w:t>Section 4.18</w:t>
      </w:r>
      <w:r>
        <w:rPr>
          <w:rFonts w:ascii="Times New Roman" w:cs="Times New Roman" w:eastAsia="Times New Roman" w:hAnsi="Times New Roman"/>
          <w:sz w:val="14"/>
          <w:szCs w:val="14"/>
          <w:color w:val="auto"/>
        </w:rPr>
        <w:t>.</w:t>
      </w:r>
    </w:p>
    <w:p>
      <w:pPr>
        <w:spacing w:after="0" w:line="8" w:lineRule="exact"/>
        <w:rPr>
          <w:rFonts w:ascii="Times New Roman" w:cs="Times New Roman" w:eastAsia="Times New Roman" w:hAnsi="Times New Roman"/>
          <w:sz w:val="14"/>
          <w:szCs w:val="14"/>
          <w:color w:val="auto"/>
        </w:rPr>
      </w:pPr>
    </w:p>
    <w:p>
      <w:pPr>
        <w:jc w:val="both"/>
        <w:ind w:firstLine="856"/>
        <w:spacing w:after="0" w:line="254" w:lineRule="auto"/>
        <w:tabs>
          <w:tab w:leader="none" w:pos="1201"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this Agreement and as set forth in </w:t>
      </w:r>
      <w:r>
        <w:rPr>
          <w:rFonts w:ascii="Times New Roman" w:cs="Times New Roman" w:eastAsia="Times New Roman" w:hAnsi="Times New Roman"/>
          <w:sz w:val="14"/>
          <w:szCs w:val="14"/>
          <w:u w:val="single" w:color="auto"/>
          <w:color w:val="auto"/>
        </w:rPr>
        <w:t>Section 4.18(b)</w:t>
      </w:r>
      <w:r>
        <w:rPr>
          <w:rFonts w:ascii="Times New Roman" w:cs="Times New Roman" w:eastAsia="Times New Roman" w:hAnsi="Times New Roman"/>
          <w:sz w:val="14"/>
          <w:szCs w:val="14"/>
          <w:color w:val="auto"/>
        </w:rPr>
        <w:t xml:space="preserve"> of the Disclosure Schedules, there are no Contracts by and between the Company or any of its Subsidiaries, on the one hand, and any Related Party of the Company or any of its Subsidiaries, on the other hand, pursuant to which such Related Party provides or receives any information, assets, properties, support or other services to or from the Company or any of its Subsidiaries (including Contracts relating to billing, financial, tax, accounting, data processing, human resources, administration, legal services, information technology and other corporate overhead matters).</w:t>
      </w:r>
    </w:p>
    <w:p>
      <w:pPr>
        <w:spacing w:after="0" w:line="2" w:lineRule="exact"/>
        <w:rPr>
          <w:rFonts w:ascii="Times New Roman" w:cs="Times New Roman" w:eastAsia="Times New Roman" w:hAnsi="Times New Roman"/>
          <w:sz w:val="14"/>
          <w:szCs w:val="14"/>
          <w:color w:val="auto"/>
        </w:rPr>
      </w:pPr>
    </w:p>
    <w:p>
      <w:pPr>
        <w:jc w:val="both"/>
        <w:ind w:firstLine="856"/>
        <w:spacing w:after="0" w:line="248" w:lineRule="auto"/>
        <w:tabs>
          <w:tab w:leader="none" w:pos="117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4.18(c)</w:t>
      </w:r>
      <w:r>
        <w:rPr>
          <w:rFonts w:ascii="Times New Roman" w:cs="Times New Roman" w:eastAsia="Times New Roman" w:hAnsi="Times New Roman"/>
          <w:sz w:val="14"/>
          <w:szCs w:val="14"/>
          <w:color w:val="auto"/>
        </w:rPr>
        <w:t xml:space="preserve"> of the Disclosure Schedules, there are no outstanding notes payable to, accounts receivables from or advances by the Company or any of its Subsidiaries to, and neither the Company nor any of its Subsidiaries is otherwise a debtor or creditor of, or has any liability or other obligation of any nature to, any Related Party of the Sellers or the Company or any of its Subsidiaries. Since the date of the Balance Sheet, neither the Company nor any of its Subsidiaries has incurred any obligation or liability to, or entered into or agreed to enter into any transaction with or for the benefit of, any Related Party of the Sellers or the Company or any of its Subsidiaries, other than the transactions contemplated by this Agreement and the Ancillary Agreements.</w:t>
      </w:r>
    </w:p>
    <w:p>
      <w:pPr>
        <w:spacing w:after="0" w:line="5"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4"/>
          <w:szCs w:val="14"/>
          <w:u w:val="single" w:color="auto"/>
          <w:color w:val="auto"/>
        </w:rPr>
        <w:t>Section 4.19 Insurance. Section 4.19</w:t>
      </w:r>
      <w:r>
        <w:rPr>
          <w:rFonts w:ascii="Times New Roman" w:cs="Times New Roman" w:eastAsia="Times New Roman" w:hAnsi="Times New Roman"/>
          <w:sz w:val="14"/>
          <w:szCs w:val="14"/>
          <w:color w:val="auto"/>
        </w:rPr>
        <w:t xml:space="preserve"> of the Disclosure Schedules sets forth a true and complete list of all casualty, directors and officers liability, general liability, workers compensation, product liability and all other types of insurance policies maintained by the Company or any of its Subsidiaries, together with the carriers and liability limits for each such policy, and any claims made under each such policy during the three years prior to the date hereof. All such policies are in full force and effect and no application therefor included a material misstatement or omission. All premiums with respect thereto have been paid to the extent due. None of the Company or any of its Subsidiaries has received written notice of, nor to the Knowledge of the Company is there threatened, any cancellation, termination, reduction of coverage or material premium increases with respect to any such policy. Section 4.19 of the Disclosure Schedules identifies which insurance policies are “occurrence” or “claims made” and which Person is the policy holder. All material insurable risks in respect of the business and assets of the Company and its Subsidiaries are covered by such insurance policies and the types and amounts of coverage provided therein are usual and customary in the context of the business and operations in which the Company and its Subsidiaries are engaged. The activities and operations of the Company and its Subsidiaries have been conducted in a manner so as to conform in all material respects to all applicable provisions of such</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300"/>
          </w:cols>
          <w:pgMar w:left="300" w:top="290" w:right="2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insurance policies. The consummation of the transactions contemplated by this Agreement and the Ancillary Agreements will not cause a cancellation or reduction in the coverage of such policies.</w:t>
      </w:r>
    </w:p>
    <w:p>
      <w:pPr>
        <w:spacing w:after="0" w:line="37" w:lineRule="exact"/>
        <w:rPr>
          <w:sz w:val="20"/>
          <w:szCs w:val="20"/>
          <w:color w:val="auto"/>
        </w:rPr>
      </w:pPr>
    </w:p>
    <w:p>
      <w:pPr>
        <w:ind w:left="428"/>
        <w:spacing w:after="0"/>
        <w:tabs>
          <w:tab w:leader="none" w:pos="1268" w:val="left"/>
        </w:tabs>
        <w:rPr>
          <w:sz w:val="20"/>
          <w:szCs w:val="20"/>
          <w:color w:val="auto"/>
        </w:rPr>
      </w:pPr>
      <w:r>
        <w:rPr>
          <w:rFonts w:ascii="Times New Roman" w:cs="Times New Roman" w:eastAsia="Times New Roman" w:hAnsi="Times New Roman"/>
          <w:sz w:val="14"/>
          <w:szCs w:val="14"/>
          <w:color w:val="auto"/>
        </w:rPr>
        <w:t>Section 4.20</w:t>
      </w:r>
      <w:r>
        <w:rPr>
          <w:sz w:val="20"/>
          <w:szCs w:val="20"/>
          <w:color w:val="auto"/>
        </w:rPr>
        <w:tab/>
      </w:r>
      <w:r>
        <w:rPr>
          <w:rFonts w:ascii="Times New Roman" w:cs="Times New Roman" w:eastAsia="Times New Roman" w:hAnsi="Times New Roman"/>
          <w:sz w:val="14"/>
          <w:szCs w:val="14"/>
          <w:u w:val="single" w:color="auto"/>
          <w:color w:val="auto"/>
        </w:rPr>
        <w:t>Data Privacy and Cybersecurity.</w:t>
      </w:r>
    </w:p>
    <w:p>
      <w:pPr>
        <w:spacing w:after="0" w:line="37" w:lineRule="exact"/>
        <w:rPr>
          <w:sz w:val="20"/>
          <w:szCs w:val="20"/>
          <w:color w:val="auto"/>
        </w:rPr>
      </w:pPr>
    </w:p>
    <w:p>
      <w:pPr>
        <w:jc w:val="both"/>
        <w:ind w:left="8" w:firstLine="856"/>
        <w:spacing w:after="0" w:line="254" w:lineRule="auto"/>
        <w:tabs>
          <w:tab w:leader="none" w:pos="1182"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and, to the Knowledge of the Company, all Persons that Process or have Processed Personal Information on their behalf, are in compliance, and for the past three years have been in compliance, in all material respects with all applicable Data Protection Requirements. Neither the Company nor any of its Subsidiaries has received any written or, to the Knowledge of the Company, oral notice, or is currently or has ever been subject to any audit or investigation, in each case regarding the Processing of Personal Information or alleging a violation of any Data Protection Requirements.</w:t>
      </w:r>
    </w:p>
    <w:p>
      <w:pPr>
        <w:spacing w:after="0" w:line="2" w:lineRule="exact"/>
        <w:rPr>
          <w:rFonts w:ascii="Times New Roman" w:cs="Times New Roman" w:eastAsia="Times New Roman" w:hAnsi="Times New Roman"/>
          <w:sz w:val="14"/>
          <w:szCs w:val="14"/>
          <w:color w:val="auto"/>
        </w:rPr>
      </w:pPr>
    </w:p>
    <w:p>
      <w:pPr>
        <w:jc w:val="both"/>
        <w:ind w:left="8" w:firstLine="856"/>
        <w:spacing w:after="0" w:line="246" w:lineRule="auto"/>
        <w:tabs>
          <w:tab w:leader="none" w:pos="1199"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have established, implemented, and at all times maintained appropriate technical, physical, administrative and organizational measures and policies, including in material compliance with all data security requirements under applicable Data Protection Requirements, designed to protect the confidentiality, integrity, availability and security of all Company data and all Personal Information that is Processed by or on behalf of the Company or any of its Subsidiaries and designed to protect against unlawful, accidental or unauthorized access thereto or use, disclosure, acquisition, exfiltration, theft, loss, alteration, modification, corruption, destruction, or unavailability thereof. The Company and its Subsidiaries have routinely monitored and assessed security risks and timely remediated material threats, deficiencies, weaknesses and vulnerabilities identified by such monitoring and assessments, and, to the Knowledge of the Company, there are no outstanding material threats, deficiencies, weaknesses or vulnerabilities. All material deficiencies, weaknesses and vulnerabilities identified by such tests have been remediated in all material respects.</w:t>
      </w:r>
    </w:p>
    <w:p>
      <w:pPr>
        <w:spacing w:after="0" w:line="5" w:lineRule="exact"/>
        <w:rPr>
          <w:rFonts w:ascii="Times New Roman" w:cs="Times New Roman" w:eastAsia="Times New Roman" w:hAnsi="Times New Roman"/>
          <w:sz w:val="14"/>
          <w:szCs w:val="14"/>
          <w:color w:val="auto"/>
        </w:rPr>
      </w:pPr>
    </w:p>
    <w:p>
      <w:pPr>
        <w:jc w:val="both"/>
        <w:ind w:left="8" w:firstLine="856"/>
        <w:spacing w:after="0" w:line="254" w:lineRule="auto"/>
        <w:tabs>
          <w:tab w:leader="none" w:pos="1209"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have experienced any breach of security, or any compromise of the integrity or availability of any Personal Information, in which any Personal Information that is or was Processed by or on behalf of the Company or any of its Subsidiaries was unlawfully or without authorization accessed, used, disclosed, acquired, exfiltrated, stolen, lost, altered, modified, corrupted, destroyed or rendered unavailable (a “</w:t>
      </w:r>
      <w:r>
        <w:rPr>
          <w:rFonts w:ascii="Times New Roman" w:cs="Times New Roman" w:eastAsia="Times New Roman" w:hAnsi="Times New Roman"/>
          <w:sz w:val="14"/>
          <w:szCs w:val="14"/>
          <w:u w:val="single" w:color="auto"/>
          <w:color w:val="auto"/>
        </w:rPr>
        <w:t>Security Incident</w:t>
      </w:r>
      <w:r>
        <w:rPr>
          <w:rFonts w:ascii="Times New Roman" w:cs="Times New Roman" w:eastAsia="Times New Roman" w:hAnsi="Times New Roman"/>
          <w:sz w:val="14"/>
          <w:szCs w:val="14"/>
          <w:color w:val="auto"/>
        </w:rPr>
        <w:t>”). Neither the Company nor any of its Subsidiaries has notified or been required by any Data Protection Requirement to notify Person (including any Governmental Authority) of a Security Incident.</w:t>
      </w:r>
    </w:p>
    <w:p>
      <w:pPr>
        <w:spacing w:after="0" w:line="2" w:lineRule="exact"/>
        <w:rPr>
          <w:rFonts w:ascii="Times New Roman" w:cs="Times New Roman" w:eastAsia="Times New Roman" w:hAnsi="Times New Roman"/>
          <w:sz w:val="14"/>
          <w:szCs w:val="14"/>
          <w:color w:val="auto"/>
        </w:rPr>
      </w:pPr>
    </w:p>
    <w:p>
      <w:pPr>
        <w:jc w:val="both"/>
        <w:ind w:left="8" w:firstLine="856"/>
        <w:spacing w:after="0" w:line="254" w:lineRule="auto"/>
        <w:tabs>
          <w:tab w:leader="none" w:pos="1198"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this Agreement will not violate, or require any notices to (or consents from) any Person under, any Data Protection Requirements in any material respect. Immediately following the Closing, the Buyer and the Company and its Subsidiaries will have the right to Process, on materially the same terms and conditions as those in effect prior to the Closing, all Personal Information that was Processed by or on behalf of the Company or its Subsidiaries prior to the Closing.</w:t>
      </w:r>
    </w:p>
    <w:p>
      <w:pPr>
        <w:spacing w:after="0" w:line="1" w:lineRule="exact"/>
        <w:rPr>
          <w:rFonts w:ascii="Times New Roman" w:cs="Times New Roman" w:eastAsia="Times New Roman" w:hAnsi="Times New Roman"/>
          <w:sz w:val="14"/>
          <w:szCs w:val="14"/>
          <w:color w:val="auto"/>
        </w:rPr>
      </w:pPr>
    </w:p>
    <w:p>
      <w:pPr>
        <w:jc w:val="both"/>
        <w:ind w:left="8" w:firstLine="856"/>
        <w:spacing w:after="0" w:line="249" w:lineRule="auto"/>
        <w:tabs>
          <w:tab w:leader="none" w:pos="1191"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have established, maintained and enforced appropriate policies and procedures for the use of artificial intelligence and automated decision-making technology by the Company’s and its Subsidiaries’ employees, agents and contractors. Neither the Company nor any of its Subsidiaries have used or are currently using, including through the Company’s or any of its Subsidiaries’ use of products or services licensed from or otherwise provided by a third-party vendor, artificial intelligence or automated decision-making technology</w:t>
      </w:r>
    </w:p>
    <w:p>
      <w:pPr>
        <w:jc w:val="both"/>
        <w:ind w:left="8" w:hanging="8"/>
        <w:spacing w:after="0" w:line="249" w:lineRule="auto"/>
        <w:tabs>
          <w:tab w:leader="none" w:pos="185"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component of or in the development, deployment, or provision of any of the Company’s or any of its Subsidiary’s products or services, (ii) for high-risk purposes, including significant or consequential decisions concerning a Person or profiling of a Person, or (iii) to develop any Intellectual Property in a manner that would materially affect the Company’s or its Subsidiaries’ ownership or rights therein.</w:t>
      </w:r>
    </w:p>
    <w:p>
      <w:pPr>
        <w:spacing w:after="0" w:line="4"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4.21   </w:t>
      </w:r>
      <w:r>
        <w:rPr>
          <w:rFonts w:ascii="Times New Roman" w:cs="Times New Roman" w:eastAsia="Times New Roman" w:hAnsi="Times New Roman"/>
          <w:sz w:val="14"/>
          <w:szCs w:val="14"/>
          <w:u w:val="single" w:color="auto"/>
          <w:color w:val="auto"/>
        </w:rPr>
        <w:t>Customers and Suppliers.</w:t>
      </w:r>
    </w:p>
    <w:p>
      <w:pPr>
        <w:spacing w:after="0" w:line="37" w:lineRule="exact"/>
        <w:rPr>
          <w:rFonts w:ascii="Times New Roman" w:cs="Times New Roman" w:eastAsia="Times New Roman" w:hAnsi="Times New Roman"/>
          <w:sz w:val="14"/>
          <w:szCs w:val="14"/>
          <w:color w:val="auto"/>
        </w:rPr>
      </w:pPr>
    </w:p>
    <w:p>
      <w:pPr>
        <w:jc w:val="both"/>
        <w:ind w:left="8" w:firstLine="856"/>
        <w:spacing w:after="0" w:line="255" w:lineRule="auto"/>
        <w:tabs>
          <w:tab w:leader="none" w:pos="1185"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4.21(a)</w:t>
      </w:r>
      <w:r>
        <w:rPr>
          <w:rFonts w:ascii="Times New Roman" w:cs="Times New Roman" w:eastAsia="Times New Roman" w:hAnsi="Times New Roman"/>
          <w:sz w:val="14"/>
          <w:szCs w:val="14"/>
          <w:color w:val="auto"/>
        </w:rPr>
        <w:t xml:space="preserve"> of the Disclosure Schedules sets forth a true and complete list of (i) the top 15 customers of the Company and its Subsidiaries (based on consolidated revenue of the Company for the 12 months ended December 31, 2025) (the “</w:t>
      </w:r>
      <w:r>
        <w:rPr>
          <w:rFonts w:ascii="Times New Roman" w:cs="Times New Roman" w:eastAsia="Times New Roman" w:hAnsi="Times New Roman"/>
          <w:sz w:val="14"/>
          <w:szCs w:val="14"/>
          <w:u w:val="single" w:color="auto"/>
          <w:color w:val="auto"/>
        </w:rPr>
        <w:t>Material Customers</w:t>
      </w:r>
      <w:r>
        <w:rPr>
          <w:rFonts w:ascii="Times New Roman" w:cs="Times New Roman" w:eastAsia="Times New Roman" w:hAnsi="Times New Roman"/>
          <w:sz w:val="14"/>
          <w:szCs w:val="14"/>
          <w:color w:val="auto"/>
        </w:rPr>
        <w:t>”), (ii) the amount for which each such customer was invoiced during such period, and (iii) the percentage of the consolidated total revenue of the Company and its Subsidiaries represented by revenue to each such customer during such period.</w:t>
      </w:r>
    </w:p>
    <w:p>
      <w:pPr>
        <w:spacing w:after="0" w:line="37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308"/>
          </w:cols>
          <w:pgMar w:left="292" w:top="290" w:right="2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Neither the Company nor any of its Subsidiaries has received any written notice or has any reason to believe that any of such customers (A) has ceased or substantially reduced, or will cease or substantially reduce, use of products or services of the Company or its Subsidiaries or (B) has sought, or is seeking, to materially reduce or renegotiate the price it will pay for the services of the Company or its Subsidiaries. To the Knowledge of the Company, none of such customers has otherwise threatened to take any action described in the preceding sentence as a result of the consummation of the transactions contemplated by this Agreement.</w:t>
      </w:r>
    </w:p>
    <w:p>
      <w:pPr>
        <w:spacing w:after="0" w:line="2" w:lineRule="exact"/>
        <w:rPr>
          <w:sz w:val="20"/>
          <w:szCs w:val="20"/>
          <w:color w:val="auto"/>
        </w:rPr>
      </w:pPr>
    </w:p>
    <w:p>
      <w:pPr>
        <w:jc w:val="both"/>
        <w:ind w:firstLine="856"/>
        <w:spacing w:after="0" w:line="246" w:lineRule="auto"/>
        <w:tabs>
          <w:tab w:leader="none" w:pos="117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4.21(b)</w:t>
      </w:r>
      <w:r>
        <w:rPr>
          <w:rFonts w:ascii="Times New Roman" w:cs="Times New Roman" w:eastAsia="Times New Roman" w:hAnsi="Times New Roman"/>
          <w:sz w:val="14"/>
          <w:szCs w:val="14"/>
          <w:color w:val="auto"/>
        </w:rPr>
        <w:t xml:space="preserve"> of the Disclosure Schedules sets forth a true and complete list of (i) the top 15 suppliers of the Company and its Subsidiaries (based on aggregate purchases by the Company and its Subsidiaries for the 12 months ended December 31, 2025), and (ii) the amount for which each such supplier invoiced the Company or such Subsidiary during such period. Neither the Company nor any of its Subsidiaries has received any written, or to the Knowledge of the Company, oral notice or has any reason to believe that there has been any material adverse change in the price of such supplies or services provided by any such supplier, or that any such supplier will not sell supplies or services to the Company and its Subsidiaries at any time after the date hereof on terms and conditions substantially the same as those used in its current sales to the Company and its Subsidiaries, subject to general and customary price increases. To the Knowledge of the Company, no such supplier has otherwise threatened to take any action described in the preceding sentence as a result of the consummation of the transactions contemplated by this Agreement.</w:t>
      </w:r>
    </w:p>
    <w:p>
      <w:pPr>
        <w:spacing w:after="0" w:line="171" w:lineRule="exact"/>
        <w:rPr>
          <w:sz w:val="20"/>
          <w:szCs w:val="20"/>
          <w:color w:val="auto"/>
        </w:rPr>
      </w:pPr>
    </w:p>
    <w:p>
      <w:pPr>
        <w:jc w:val="both"/>
        <w:ind w:right="20" w:firstLine="432"/>
        <w:spacing w:after="0" w:line="252" w:lineRule="auto"/>
        <w:rPr>
          <w:sz w:val="20"/>
          <w:szCs w:val="20"/>
          <w:color w:val="auto"/>
        </w:rPr>
      </w:pPr>
      <w:r>
        <w:rPr>
          <w:rFonts w:ascii="Times New Roman" w:cs="Times New Roman" w:eastAsia="Times New Roman" w:hAnsi="Times New Roman"/>
          <w:sz w:val="14"/>
          <w:szCs w:val="14"/>
          <w:color w:val="auto"/>
        </w:rPr>
        <w:t xml:space="preserve">Section 4.22 </w:t>
      </w:r>
      <w:r>
        <w:rPr>
          <w:rFonts w:ascii="Times New Roman" w:cs="Times New Roman" w:eastAsia="Times New Roman" w:hAnsi="Times New Roman"/>
          <w:sz w:val="14"/>
          <w:szCs w:val="14"/>
          <w:u w:val="single" w:color="auto"/>
          <w:color w:val="auto"/>
        </w:rPr>
        <w:t>Inventories.</w:t>
      </w:r>
      <w:r>
        <w:rPr>
          <w:rFonts w:ascii="Times New Roman" w:cs="Times New Roman" w:eastAsia="Times New Roman" w:hAnsi="Times New Roman"/>
          <w:sz w:val="14"/>
          <w:szCs w:val="14"/>
          <w:color w:val="auto"/>
        </w:rPr>
        <w:t xml:space="preserve"> The inventories of the Company and each of its Subsidiaries, whether reflected on the Balance Sheet or subsequently acquired, are generally of a quality and quantity usable and/or salable at customary gross margins in the ordinary course of business. The inventories of the Company and its Subsidiaries are reflected on the Balance Sheet and in the books and records of the Company and its Subsidiaries in accordance with GAAP applied on a basis consistent with past practice (except as described in the notes to the Balance Sheet). The inventory is adequate for the conduct of the business of the Company and its Subsidiaries and inventory levels are not in excess of normal operating requirements of the Company and its Subsidiaries.</w:t>
      </w:r>
    </w:p>
    <w:p>
      <w:pPr>
        <w:spacing w:after="0" w:line="170"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4"/>
          <w:szCs w:val="14"/>
          <w:color w:val="auto"/>
        </w:rPr>
        <w:t xml:space="preserve">Section 4.23 </w:t>
      </w:r>
      <w:r>
        <w:rPr>
          <w:rFonts w:ascii="Times New Roman" w:cs="Times New Roman" w:eastAsia="Times New Roman" w:hAnsi="Times New Roman"/>
          <w:sz w:val="14"/>
          <w:szCs w:val="14"/>
          <w:u w:val="single" w:color="auto"/>
          <w:color w:val="auto"/>
        </w:rPr>
        <w:t>Accounts Receivable.</w:t>
      </w:r>
      <w:r>
        <w:rPr>
          <w:rFonts w:ascii="Times New Roman" w:cs="Times New Roman" w:eastAsia="Times New Roman" w:hAnsi="Times New Roman"/>
          <w:sz w:val="14"/>
          <w:szCs w:val="14"/>
          <w:color w:val="auto"/>
        </w:rPr>
        <w:t xml:space="preserve"> All accounts receivable reflected on the Balance Sheet or to be reflected on the Closing Balance Sheet represent or will represent bona fide and valid obligations arising from sales actually made or services actually performed in the ordinary course of business. As of the date hereof, all accounts receivable are current and, to the Knowledge of the Company, collectible net of the respective reserves shown on the Balance Sheet or to be shown on the Closing Balance Sheet (which reserves (a) are adequate and calculated consistent with past practice, (b) in the case of reserves on the Closing Balance Sheet, will not represent a greater percentage of accounts receivable as of the Closing than the reserve reflected on the Balance Sheet represented of the accounts receivable reflected therein and (c) will not represent a change in the composition of such accounts receivable in terms of aging). Subject to such reserves, each account receivable either has been or, to the Knowledge of the Company, will be collected in full, without any set-off, within 90 days from the Closing. There is no contest, claim or right of set-off, other than returns in the ordinary course of business, under any Contract with any obligor of any accounts receivable related to the amount or validity of such accounts receivable, and, to the Knowledge of the Company, no bankruptcy, insolvency or similar proceedings have been commenced by or against any such obligor.</w:t>
      </w:r>
    </w:p>
    <w:p>
      <w:pPr>
        <w:spacing w:after="0" w:line="8" w:lineRule="exact"/>
        <w:rPr>
          <w:sz w:val="20"/>
          <w:szCs w:val="20"/>
          <w:color w:val="auto"/>
        </w:rPr>
      </w:pPr>
    </w:p>
    <w:p>
      <w:pPr>
        <w:jc w:val="both"/>
        <w:ind w:right="20" w:firstLine="432"/>
        <w:spacing w:after="0" w:line="259" w:lineRule="auto"/>
        <w:rPr>
          <w:sz w:val="20"/>
          <w:szCs w:val="20"/>
          <w:color w:val="auto"/>
        </w:rPr>
      </w:pPr>
      <w:r>
        <w:rPr>
          <w:rFonts w:ascii="Times New Roman" w:cs="Times New Roman" w:eastAsia="Times New Roman" w:hAnsi="Times New Roman"/>
          <w:sz w:val="14"/>
          <w:szCs w:val="14"/>
          <w:color w:val="auto"/>
        </w:rPr>
        <w:t xml:space="preserve">Section 4.24 </w:t>
      </w:r>
      <w:r>
        <w:rPr>
          <w:rFonts w:ascii="Times New Roman" w:cs="Times New Roman" w:eastAsia="Times New Roman" w:hAnsi="Times New Roman"/>
          <w:sz w:val="14"/>
          <w:szCs w:val="14"/>
          <w:u w:val="single" w:color="auto"/>
          <w:color w:val="auto"/>
        </w:rPr>
        <w:t>Bank Accounts; Powers of Attorney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4.24</w:t>
      </w:r>
      <w:r>
        <w:rPr>
          <w:rFonts w:ascii="Times New Roman" w:cs="Times New Roman" w:eastAsia="Times New Roman" w:hAnsi="Times New Roman"/>
          <w:sz w:val="14"/>
          <w:szCs w:val="14"/>
          <w:color w:val="auto"/>
        </w:rPr>
        <w:t xml:space="preserve"> of the Disclosure Schedules sets forth a true and complete list of (a) all bank accounts or safe deposit boxes under the control or for the benefit of the Company or any of its Subsidiaries, (b) the names of all persons authorized to draw on or have access to such accounts and safe deposit boxes and (c) all outstanding powers of attorney or similar authorizations granted by the Company or any of its Subsidiaries, copies of which have been furnished to the Buyer.</w:t>
      </w:r>
    </w:p>
    <w:p>
      <w:pPr>
        <w:spacing w:after="0" w:line="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 xml:space="preserve">Section 4.25 </w:t>
      </w: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xml:space="preserve"> No broker, finder or investment banker is entitled to any brokerage, finder’s or other fee or commission in connection with the transactions contemplated hereby based upon arrangements made by or on behalf of the Sellers, the Company or any of its Subsidiaries.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300"/>
          </w:cols>
          <w:pgMar w:left="300" w:top="290" w:right="2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4"/>
          <w:szCs w:val="14"/>
          <w:color w:val="auto"/>
        </w:rPr>
        <w:t xml:space="preserve">Section 4.26 </w:t>
      </w:r>
      <w:r>
        <w:rPr>
          <w:rFonts w:ascii="Times New Roman" w:cs="Times New Roman" w:eastAsia="Times New Roman" w:hAnsi="Times New Roman"/>
          <w:sz w:val="14"/>
          <w:szCs w:val="14"/>
          <w:u w:val="single" w:color="auto"/>
          <w:color w:val="auto"/>
        </w:rPr>
        <w:t>No Other Representations or Warranties.</w:t>
      </w:r>
      <w:r>
        <w:rPr>
          <w:rFonts w:ascii="Times New Roman" w:cs="Times New Roman" w:eastAsia="Times New Roman" w:hAnsi="Times New Roman"/>
          <w:sz w:val="14"/>
          <w:szCs w:val="14"/>
          <w:color w:val="auto"/>
        </w:rPr>
        <w:t xml:space="preserve"> Except for the representations and warranties of the Sellers, the Company and its Subsidiaries set forth in this Agreement, the Ancillary Agreements and any schedule, certificate or other document delivered pursuant hereto or thereto or in connection with the transactions contemplated hereby or thereby, none of the Sellers, the Company or any of its Subsidiaries or any other Person, whether or not acting on behalf of any of the foregoing, makes any other representation or warranty, express or implied, either written or oral, regarding the Sellers, the Company or its Subsidiaries or otherwise in connection with this Agreement and the transactions contemplated hereby.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REPRESENTATIONS AND WARRANTIES OF THE BUYER</w:t>
      </w:r>
    </w:p>
    <w:p>
      <w:pPr>
        <w:spacing w:after="0" w:line="237"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4"/>
          <w:szCs w:val="14"/>
          <w:color w:val="auto"/>
        </w:rPr>
        <w:t>Except as set forth in any Buyer SEC Filing (as defined below) that is publicly available prior to the date of this Agreement (excluding any disclosures set forth in any such Buyer SEC Filing in any risk factor section, any forward-looking disclosure in any section relating to forward-looking statements or any other statements that are non-specific, cautionary, predictive or forward-looking in nature, other than historical facts included therein), the Buyer hereby represents and warrants to each Seller as of the date hereof (except to the extent such representations and warranties expressly relate to an earlier date, in which case as of such earlier date) as follows:</w:t>
      </w:r>
    </w:p>
    <w:p>
      <w:pPr>
        <w:spacing w:after="0" w:line="4"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 xml:space="preserve">Section 5.1 </w:t>
      </w:r>
      <w:r>
        <w:rPr>
          <w:rFonts w:ascii="Times New Roman" w:cs="Times New Roman" w:eastAsia="Times New Roman" w:hAnsi="Times New Roman"/>
          <w:sz w:val="14"/>
          <w:szCs w:val="14"/>
          <w:u w:val="single" w:color="auto"/>
          <w:color w:val="auto"/>
        </w:rPr>
        <w:t>Organization.</w:t>
      </w:r>
      <w:r>
        <w:rPr>
          <w:rFonts w:ascii="Times New Roman" w:cs="Times New Roman" w:eastAsia="Times New Roman" w:hAnsi="Times New Roman"/>
          <w:sz w:val="14"/>
          <w:szCs w:val="14"/>
          <w:color w:val="auto"/>
        </w:rPr>
        <w:t xml:space="preserve"> The Buyer is a corporation duly organized, validly existing and in good standing under the Laws of the State of Colorado, and has full power and authority to own, lease and operate its properties and to carry on its business as it is now being conducted.</w:t>
      </w:r>
    </w:p>
    <w:p>
      <w:pPr>
        <w:jc w:val="both"/>
        <w:ind w:right="20" w:firstLine="432"/>
        <w:spacing w:after="0" w:line="247" w:lineRule="auto"/>
        <w:rPr>
          <w:sz w:val="20"/>
          <w:szCs w:val="20"/>
          <w:color w:val="auto"/>
        </w:rPr>
      </w:pPr>
      <w:r>
        <w:rPr>
          <w:rFonts w:ascii="Times New Roman" w:cs="Times New Roman" w:eastAsia="Times New Roman" w:hAnsi="Times New Roman"/>
          <w:sz w:val="14"/>
          <w:szCs w:val="14"/>
          <w:color w:val="auto"/>
        </w:rPr>
        <w:t xml:space="preserve">Section 5.2 </w:t>
      </w:r>
      <w:r>
        <w:rPr>
          <w:rFonts w:ascii="Times New Roman" w:cs="Times New Roman" w:eastAsia="Times New Roman" w:hAnsi="Times New Roman"/>
          <w:sz w:val="14"/>
          <w:szCs w:val="14"/>
          <w:u w:val="single" w:color="auto"/>
          <w:color w:val="auto"/>
        </w:rPr>
        <w:t>Authority</w:t>
      </w:r>
      <w:r>
        <w:rPr>
          <w:rFonts w:ascii="Times New Roman" w:cs="Times New Roman" w:eastAsia="Times New Roman" w:hAnsi="Times New Roman"/>
          <w:sz w:val="14"/>
          <w:szCs w:val="14"/>
          <w:color w:val="auto"/>
        </w:rPr>
        <w:t>. The Buyer has full corporate power and authority to execute and deliver this Agreement and each of the Ancillary Agreements to which it is a party, to perform its obligations hereunder and thereunder and to consummate the transactions contemplated hereby and thereby. The execution, delivery and performance by the Buyer of this Agreement and each of the Ancillary Agreements to which it is a party and the consummation by the Buyer of the transactions contemplated hereby and thereby have been duly and validly authorized by all necessary corporate action. This Agreement and each of the Ancillary Agreements to which the Buyer is a party have been duly executed and delivered by the Buyer, and, assuming due execution and delivery by each of the other parties hereto and thereto, each of this Agreement and such Ancillary Agreements constitutes the legal, valid and binding obligations of the Buyer, enforceable against the Buyer in accordance with their respective terms (except to the extent that enforceability may be limited by applicable bankruptcy, insolvency, moratorium, reorganization or similar Laws affecting the enforcement of creditors’ rights generally or by general principles of equity).</w:t>
      </w:r>
    </w:p>
    <w:p>
      <w:pPr>
        <w:spacing w:after="0" w:line="1"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5.3</w:t>
      </w:r>
      <w:r>
        <w:rPr>
          <w:sz w:val="20"/>
          <w:szCs w:val="20"/>
          <w:color w:val="auto"/>
        </w:rPr>
        <w:tab/>
      </w:r>
      <w:r>
        <w:rPr>
          <w:rFonts w:ascii="Times New Roman" w:cs="Times New Roman" w:eastAsia="Times New Roman" w:hAnsi="Times New Roman"/>
          <w:sz w:val="14"/>
          <w:szCs w:val="14"/>
          <w:u w:val="single" w:color="auto"/>
          <w:color w:val="auto"/>
        </w:rPr>
        <w:t>No Conflict; Required Filings and Consents.</w:t>
      </w:r>
    </w:p>
    <w:p>
      <w:pPr>
        <w:spacing w:after="0" w:line="37" w:lineRule="exact"/>
        <w:rPr>
          <w:sz w:val="20"/>
          <w:szCs w:val="20"/>
          <w:color w:val="auto"/>
        </w:rPr>
      </w:pPr>
    </w:p>
    <w:p>
      <w:pPr>
        <w:ind w:firstLine="856"/>
        <w:spacing w:after="0" w:line="268" w:lineRule="auto"/>
        <w:tabs>
          <w:tab w:leader="none" w:pos="1199"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delivery and performance by the Buyer of this Agreement and the Ancillary Agreements and the consummation of the transactions contemplated hereby and thereby, do not and will not:</w:t>
      </w:r>
    </w:p>
    <w:p>
      <w:pPr>
        <w:ind w:left="1560" w:hanging="272"/>
        <w:spacing w:after="0"/>
        <w:tabs>
          <w:tab w:leader="none" w:pos="156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conflict with or violate the certificate of incorporation or bylaws of the Buyer;</w:t>
      </w:r>
    </w:p>
    <w:p>
      <w:pPr>
        <w:spacing w:after="0" w:line="37" w:lineRule="exact"/>
        <w:rPr>
          <w:rFonts w:ascii="Times New Roman" w:cs="Times New Roman" w:eastAsia="Times New Roman" w:hAnsi="Times New Roman"/>
          <w:sz w:val="14"/>
          <w:szCs w:val="14"/>
          <w:color w:val="auto"/>
        </w:rPr>
      </w:pPr>
    </w:p>
    <w:p>
      <w:pPr>
        <w:ind w:left="1600" w:hanging="312"/>
        <w:spacing w:after="0"/>
        <w:tabs>
          <w:tab w:leader="none" w:pos="160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conflict with or violate any Law applicable to the Buyer; or</w:t>
      </w:r>
    </w:p>
    <w:p>
      <w:pPr>
        <w:spacing w:after="0" w:line="37" w:lineRule="exact"/>
        <w:rPr>
          <w:rFonts w:ascii="Times New Roman" w:cs="Times New Roman" w:eastAsia="Times New Roman" w:hAnsi="Times New Roman"/>
          <w:sz w:val="14"/>
          <w:szCs w:val="14"/>
          <w:color w:val="auto"/>
        </w:rPr>
      </w:pPr>
    </w:p>
    <w:p>
      <w:pPr>
        <w:jc w:val="both"/>
        <w:ind w:firstLine="1288"/>
        <w:spacing w:after="0" w:line="255" w:lineRule="auto"/>
        <w:tabs>
          <w:tab w:leader="none" w:pos="1667"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 in any breach of, constitute a default (or an event that, with notice or lapse of time or both, would become a default) under or require any consent of any Person pursuant to, give to others any right of termination, amendment, modification, acceleration or cancellation of, allow the imposition of any fees or penalties under, require the offering or making of any payment or redemption under, give rise to any increased, guaranteed, accelerated or additional rights or entitlements of any Person under, or otherwise adversely affect any rights of the Buyer under any Contract to which the Buyer is bound;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300"/>
          </w:cols>
          <w:pgMar w:left="300" w:top="290" w:right="29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4"/>
          <w:szCs w:val="14"/>
          <w:color w:val="auto"/>
        </w:rPr>
        <w:t>except, in the case of the foregoing clauses (ii) and (iii), for any such conflicts, violations, breaches, defaults or other occurrences that do not, individually or in the aggregate, materially impair the ability of the Buyer to consummate, or prevent or materially delay, any of the transactions contemplated by this Agreement or the Ancillary Agreements or would reasonably be expected to do so.</w:t>
      </w:r>
    </w:p>
    <w:p>
      <w:pPr>
        <w:jc w:val="both"/>
        <w:ind w:firstLine="856"/>
        <w:spacing w:after="0" w:line="248" w:lineRule="auto"/>
        <w:tabs>
          <w:tab w:leader="none" w:pos="1209"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Buyer is not required to file, seek or obtain any notice, authorization, approval, order, permit or consent of or with any Governmental Authority in connection with the execution, delivery and performance by the Buyer of this Agreement and each of the Ancillary Agreements to which it is a party or the consummation of the transactions contemplated hereby or thereby, except for (i) any filings required under the U.S. federal securities Laws, (ii) any filings or listing applications with a national securities exchange with respect to the issuance of the Buyer Common Shares hereunder, and (iii) such other notices, authorizations, approvals, orders, permits or consents the failure of which to be obtained or made, individually or in the aggregate, have not had and would not reasonably be expected to materially impair, or prevent or materially delay, the ability of the Buyer to consummate the transactions contemplated by this Agreement or any Ancillary Agreement.</w:t>
      </w:r>
    </w:p>
    <w:p>
      <w:pPr>
        <w:ind w:left="420" w:right="900"/>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5.4 </w:t>
      </w:r>
      <w:r>
        <w:rPr>
          <w:rFonts w:ascii="Times New Roman" w:cs="Times New Roman" w:eastAsia="Times New Roman" w:hAnsi="Times New Roman"/>
          <w:sz w:val="14"/>
          <w:szCs w:val="14"/>
          <w:u w:val="single" w:color="auto"/>
          <w:color w:val="auto"/>
        </w:rPr>
        <w:t>Financing</w:t>
      </w:r>
      <w:r>
        <w:rPr>
          <w:rFonts w:ascii="Times New Roman" w:cs="Times New Roman" w:eastAsia="Times New Roman" w:hAnsi="Times New Roman"/>
          <w:sz w:val="14"/>
          <w:szCs w:val="14"/>
          <w:color w:val="auto"/>
        </w:rPr>
        <w:t xml:space="preserve">. The Buyer has sufficient funds to permit the Buyer to consummate the transactions contemplated by this Agreement and the Ancillary Agreements. Section 5.5 </w:t>
      </w:r>
      <w:r>
        <w:rPr>
          <w:rFonts w:ascii="Times New Roman" w:cs="Times New Roman" w:eastAsia="Times New Roman" w:hAnsi="Times New Roman"/>
          <w:sz w:val="14"/>
          <w:szCs w:val="14"/>
          <w:u w:val="single" w:color="auto"/>
          <w:color w:val="auto"/>
        </w:rPr>
        <w:t>Capitalization.</w:t>
      </w:r>
    </w:p>
    <w:p>
      <w:pPr>
        <w:ind w:firstLine="856"/>
        <w:spacing w:after="0" w:line="268" w:lineRule="auto"/>
        <w:tabs>
          <w:tab w:leader="none" w:pos="1189"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10, 2026, the authorized capital of Buyer consisted solely of (i) 30,000,000 shares of common stock, par value $0.01 per share, of which 12,634,618 shares were issued and outstanding and (ii) 5,000,000 shares of preferred stock, par value $0.01 per share, of which no shares were issued and outstanding.</w:t>
      </w:r>
    </w:p>
    <w:p>
      <w:pPr>
        <w:ind w:firstLine="856"/>
        <w:spacing w:after="0" w:line="268" w:lineRule="auto"/>
        <w:tabs>
          <w:tab w:leader="none" w:pos="1193"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issued and outstanding Buyer Common Shares are duly authorized and validly issued in accordance with the organizational documents of the Buyer, are fully paid and non-assessable, and were not issued in violation of any preemptive rights, rights of first refusal or other similar rights of any Person.</w:t>
      </w:r>
    </w:p>
    <w:p>
      <w:pPr>
        <w:jc w:val="both"/>
        <w:ind w:firstLine="856"/>
        <w:spacing w:after="0" w:line="252" w:lineRule="auto"/>
        <w:tabs>
          <w:tab w:leader="none" w:pos="1208"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Section 5.5(c)</w:t>
      </w:r>
      <w:r>
        <w:rPr>
          <w:rFonts w:ascii="Times New Roman" w:cs="Times New Roman" w:eastAsia="Times New Roman" w:hAnsi="Times New Roman"/>
          <w:sz w:val="14"/>
          <w:szCs w:val="14"/>
          <w:color w:val="auto"/>
        </w:rPr>
        <w:t xml:space="preserve"> of the Disclosure Schedules, there are no preemptive rights or, except as disclosed in the Buyer SEC Filings (as defined below), other outstanding rights, options, warrants, conversion rights, stock appreciation rights, redemption rights, repurchase rights, agreements, arrangements, calls, subscription agreements, commitments or rights of any kind that obligate the Buyer to issue or sell any equity interests of the Buyer or any securities or obligations convertible or exchangeable into or exercisable for, or giving any Person a right to subscribe for or acquire, any equity interests in the Buyer, and, except as disclosed in the Buyer SEC Filings, no securities or obligations evidencing such rights are authorized, issued or outstanding.</w:t>
      </w:r>
    </w:p>
    <w:p>
      <w:pPr>
        <w:spacing w:after="0" w:line="160" w:lineRule="exact"/>
        <w:rPr>
          <w:rFonts w:ascii="Times New Roman" w:cs="Times New Roman" w:eastAsia="Times New Roman" w:hAnsi="Times New Roman"/>
          <w:sz w:val="14"/>
          <w:szCs w:val="14"/>
          <w:color w:val="auto"/>
        </w:rPr>
      </w:pPr>
    </w:p>
    <w:p>
      <w:pPr>
        <w:ind w:right="20" w:firstLine="856"/>
        <w:spacing w:after="0" w:line="268" w:lineRule="auto"/>
        <w:tabs>
          <w:tab w:leader="none" w:pos="1227"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Buyer does not have any outstanding bonds, debentures, notes, or other obligations the holders of which have the right to vote (or convertible into or exercisable for securities having the right to vote) with the holders of equity interests in the Buyer on any matter pursuant to such outstanding bonds, debentures, notes or other obligations.</w:t>
      </w: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5.6 </w:t>
      </w:r>
      <w:r>
        <w:rPr>
          <w:rFonts w:ascii="Times New Roman" w:cs="Times New Roman" w:eastAsia="Times New Roman" w:hAnsi="Times New Roman"/>
          <w:sz w:val="14"/>
          <w:szCs w:val="14"/>
          <w:u w:val="single" w:color="auto"/>
          <w:color w:val="auto"/>
        </w:rPr>
        <w:t>Listing Exchange.</w:t>
      </w:r>
      <w:r>
        <w:rPr>
          <w:rFonts w:ascii="Times New Roman" w:cs="Times New Roman" w:eastAsia="Times New Roman" w:hAnsi="Times New Roman"/>
          <w:sz w:val="14"/>
          <w:szCs w:val="14"/>
          <w:color w:val="auto"/>
        </w:rPr>
        <w:t xml:space="preserve"> The Buyer Common Shares are listed on the New York Stock Exchange (the “NYSE”), and the Buyer has not received any notice of delisting from the NYSE. No judgment, order, ruling, decree, injunction, or award of any securities commission or similar securities regulatory authority or any other Governmental Authority, or of the NYSE, preventing or suspending trading in any securities of the Buyer has been issued, and no proceedings for such purpose are, to the Buyer’s knowledge, pending, contemplated or threatened. The Buyer has taken no action that is designed to terminate the registration of the Buyer Common Shares under the Securities Exchange Act of 1934 (the “Exchange Act”).</w:t>
      </w:r>
    </w:p>
    <w:p>
      <w:pPr>
        <w:spacing w:after="0" w:line="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4"/>
          <w:szCs w:val="14"/>
          <w:color w:val="auto"/>
        </w:rPr>
        <w:t xml:space="preserve">Section 5.7 </w:t>
      </w:r>
      <w:r>
        <w:rPr>
          <w:rFonts w:ascii="Times New Roman" w:cs="Times New Roman" w:eastAsia="Times New Roman" w:hAnsi="Times New Roman"/>
          <w:sz w:val="14"/>
          <w:szCs w:val="14"/>
          <w:u w:val="single" w:color="auto"/>
          <w:color w:val="auto"/>
        </w:rPr>
        <w:t>Issuance of the Buyer Common Shares.</w:t>
      </w:r>
      <w:r>
        <w:rPr>
          <w:rFonts w:ascii="Times New Roman" w:cs="Times New Roman" w:eastAsia="Times New Roman" w:hAnsi="Times New Roman"/>
          <w:sz w:val="14"/>
          <w:szCs w:val="14"/>
          <w:color w:val="auto"/>
        </w:rPr>
        <w:t xml:space="preserve"> The Buyer represents that the Aggregate Stock Closing Consideration issued hereunder are duly authorized, validly issued, fully paid and nonassessable, and free and clear of all Encumbrances (other than those arising under securities Laws or created by the Sellers), and have not been issued in violation of any preemptive right, purchase option, call option, right of first refusal or similar options or rights or, assuming the accuracy of the representations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300"/>
          </w:cols>
          <w:pgMar w:left="300" w:top="290" w:right="29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in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in violation of the Securities Act and any applicable state securities Laws. The Buyer has a sufficient number of Buyer Common Shares authorized for issuing the Aggregate Stock Closing Consideration.</w:t>
      </w: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 xml:space="preserve">Section 5.8 </w:t>
      </w:r>
      <w:r>
        <w:rPr>
          <w:rFonts w:ascii="Times New Roman" w:cs="Times New Roman" w:eastAsia="Times New Roman" w:hAnsi="Times New Roman"/>
          <w:sz w:val="14"/>
          <w:szCs w:val="14"/>
          <w:u w:val="single" w:color="auto"/>
          <w:color w:val="auto"/>
        </w:rPr>
        <w:t>Brokers.</w:t>
      </w:r>
      <w:r>
        <w:rPr>
          <w:rFonts w:ascii="Times New Roman" w:cs="Times New Roman" w:eastAsia="Times New Roman" w:hAnsi="Times New Roman"/>
          <w:sz w:val="14"/>
          <w:szCs w:val="14"/>
          <w:color w:val="auto"/>
        </w:rPr>
        <w:t xml:space="preserve"> No broker, finder or investment banker is entitled to any brokerage, finder’s or other fee or commission in connection with the transactions contemplated hereby based upon arrangements made by or on behalf of the Buyer.</w:t>
      </w: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 xml:space="preserve">Section 5.9 </w:t>
      </w:r>
      <w:r>
        <w:rPr>
          <w:rFonts w:ascii="Times New Roman" w:cs="Times New Roman" w:eastAsia="Times New Roman" w:hAnsi="Times New Roman"/>
          <w:sz w:val="14"/>
          <w:szCs w:val="14"/>
          <w:u w:val="single" w:color="auto"/>
          <w:color w:val="auto"/>
        </w:rPr>
        <w:t>Investment Intent</w:t>
      </w:r>
      <w:r>
        <w:rPr>
          <w:rFonts w:ascii="Times New Roman" w:cs="Times New Roman" w:eastAsia="Times New Roman" w:hAnsi="Times New Roman"/>
          <w:sz w:val="14"/>
          <w:szCs w:val="14"/>
          <w:color w:val="auto"/>
        </w:rPr>
        <w:t>. The Buyer is acquiring the Equity Interests for its own account for investment purposes only and not with a view to any public distribution thereof or with any intention of selling, distributing or otherwise disposing of the Equity Interests in a manner that would violate the registration requirements of the Securities Act.</w:t>
      </w:r>
    </w:p>
    <w:p>
      <w:pPr>
        <w:jc w:val="both"/>
        <w:ind w:firstLine="432"/>
        <w:spacing w:after="0" w:line="244" w:lineRule="auto"/>
        <w:rPr>
          <w:sz w:val="20"/>
          <w:szCs w:val="20"/>
          <w:color w:val="auto"/>
        </w:rPr>
      </w:pPr>
      <w:r>
        <w:rPr>
          <w:rFonts w:ascii="Times New Roman" w:cs="Times New Roman" w:eastAsia="Times New Roman" w:hAnsi="Times New Roman"/>
          <w:sz w:val="14"/>
          <w:szCs w:val="14"/>
          <w:color w:val="auto"/>
        </w:rPr>
        <w:t xml:space="preserve">Section 5.10 </w:t>
      </w:r>
      <w:r>
        <w:rPr>
          <w:rFonts w:ascii="Times New Roman" w:cs="Times New Roman" w:eastAsia="Times New Roman" w:hAnsi="Times New Roman"/>
          <w:sz w:val="14"/>
          <w:szCs w:val="14"/>
          <w:u w:val="single" w:color="auto"/>
          <w:color w:val="auto"/>
        </w:rPr>
        <w:t>Reports</w:t>
      </w:r>
      <w:r>
        <w:rPr>
          <w:rFonts w:ascii="Times New Roman" w:cs="Times New Roman" w:eastAsia="Times New Roman" w:hAnsi="Times New Roman"/>
          <w:sz w:val="14"/>
          <w:szCs w:val="14"/>
          <w:color w:val="auto"/>
        </w:rPr>
        <w:t>. Buyer’s Annual Reports on Form 10-K for the years ended December 31, 2023, 2024 and 2025, and all other reports, registration statements, definitive proxy statements or information statements filed by it subsequent to December 31, 2024, under the Securities Act, or under Section 13(a), 13(c), 14 or 15(d) of the Exchange Act, in the form filed or as thereafter amended prior to the date hereof (collectively, the “Buyer SEC Filings”) with the United States Securities and Exchange Commission (the “SEC”), as of the date filed or amended prior to the date hereof, as the case may be, (i) complied in all material respects as to form with the applicable requirements under the Securities Act or the Exchange Act, as the case may be, and (ii) did not contain any untrue statement of a material fact or omit to state a material fact required to be stated therein or necessary to make the statements therein, in light of the circumstances under which they were made, not misleading. The audited or unaudited financial statements included in the Buyer SEC Filings, including any notes thereto or schedules, (x) were prepared in accordance with GAAP applied on a consistent basis during the periods involved (except as may be indicated in the notes thereto or the omission of notes to the extent permitted by Regulation S-K or, in the case of unaudited statements, as permitted by Form 10-Q of the SEC) and subject, in the case of interim financial statements, to normal and recurring year-end adjustments, and (y) fairly present in all material respects the financial position, results of operations and cash flows of the Buyer as at the respective dates thereof and for the respective periods indicated therein.</w:t>
      </w:r>
    </w:p>
    <w:p>
      <w:pPr>
        <w:spacing w:after="0" w:line="12"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5.11</w:t>
      </w:r>
      <w:r>
        <w:rPr>
          <w:sz w:val="20"/>
          <w:szCs w:val="20"/>
          <w:color w:val="auto"/>
        </w:rPr>
        <w:tab/>
      </w:r>
      <w:r>
        <w:rPr>
          <w:rFonts w:ascii="Times New Roman" w:cs="Times New Roman" w:eastAsia="Times New Roman" w:hAnsi="Times New Roman"/>
          <w:sz w:val="14"/>
          <w:szCs w:val="14"/>
          <w:u w:val="single" w:color="auto"/>
          <w:color w:val="auto"/>
        </w:rPr>
        <w:t>Internal Controls.</w:t>
      </w:r>
    </w:p>
    <w:p>
      <w:pPr>
        <w:spacing w:after="0" w:line="37" w:lineRule="exact"/>
        <w:rPr>
          <w:sz w:val="20"/>
          <w:szCs w:val="20"/>
          <w:color w:val="auto"/>
        </w:rPr>
      </w:pPr>
    </w:p>
    <w:p>
      <w:pPr>
        <w:jc w:val="both"/>
        <w:ind w:firstLine="856"/>
        <w:spacing w:after="0" w:line="250" w:lineRule="auto"/>
        <w:tabs>
          <w:tab w:leader="none" w:pos="116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Buyer has established and maintains disclosure controls and procedures (as such term is defined in Rule 13a-15 under the Exchange Act) as required by Rule 13a-15 under the Exchange Act, such disclosure controls and procedures are reasonably designed to ensure that material information required to be disclosed by the Buyer in the reports it files or submits to the SEC under the Exchange Act is recorded, processed, summarized, and reported within the time periods specified in the rules and forms of the SEC, and that such material information is accumulated and communicated to the Buyer’s management as appropriate to allow timely decisions regarding required disclosure.</w:t>
      </w:r>
    </w:p>
    <w:p>
      <w:pPr>
        <w:spacing w:after="0" w:line="4" w:lineRule="exact"/>
        <w:rPr>
          <w:rFonts w:ascii="Times New Roman" w:cs="Times New Roman" w:eastAsia="Times New Roman" w:hAnsi="Times New Roman"/>
          <w:sz w:val="14"/>
          <w:szCs w:val="14"/>
          <w:color w:val="auto"/>
        </w:rPr>
      </w:pPr>
    </w:p>
    <w:p>
      <w:pPr>
        <w:jc w:val="both"/>
        <w:ind w:firstLine="856"/>
        <w:spacing w:after="0" w:line="248" w:lineRule="auto"/>
        <w:tabs>
          <w:tab w:leader="none" w:pos="122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2024, (i) there have not been any changes in the Buyer’s internal control over financial reporting (as defined in Rules 13a-15(f) and 15d-15(f) under the Exchange Act) that are reasonably likely to materially affect the Buyer’s internal control over financial reporting; (ii) the Buyer has disclosed, based on the most recent evaluation of its chief executive officer and its chief financial officer prior to the date of this Agreement, to the Buyer’s outside auditors and the audit committee of the Buyer’s board of directors any “significant deficiency” or “material weakness” in the design or operation of the Buyer’s internal control over financial reporting which are reasonably likely to adversely affect in any material respect the Buyer’s ability to record, process, summarize, and report financial information; and (iii) none of the Buyer, the Buyer’s outside auditors or the audit committee of the board of directors of the Buyer has received any oral or written notification of any fraud, whether or not material, that involves management or other employees of the Buyer who have a significant role in the Buyer’s internal control over financial reporting.</w:t>
      </w:r>
    </w:p>
    <w:p>
      <w:pPr>
        <w:spacing w:after="0" w:line="172"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4"/>
          <w:szCs w:val="14"/>
          <w:color w:val="auto"/>
        </w:rPr>
        <w:t xml:space="preserve">Section 5.12 </w:t>
      </w:r>
      <w:r>
        <w:rPr>
          <w:rFonts w:ascii="Times New Roman" w:cs="Times New Roman" w:eastAsia="Times New Roman" w:hAnsi="Times New Roman"/>
          <w:sz w:val="14"/>
          <w:szCs w:val="14"/>
          <w:u w:val="single" w:color="auto"/>
          <w:color w:val="auto"/>
        </w:rPr>
        <w:t>No Other Representations or Warranties</w:t>
      </w:r>
      <w:r>
        <w:rPr>
          <w:rFonts w:ascii="Times New Roman" w:cs="Times New Roman" w:eastAsia="Times New Roman" w:hAnsi="Times New Roman"/>
          <w:sz w:val="14"/>
          <w:szCs w:val="14"/>
          <w:color w:val="auto"/>
        </w:rPr>
        <w:t>. Except for the representations and warranties of the Buyer set forth in this Agreement, the Ancillary Agreements and any schedule, certificate or other document delivered pursuant hereto or in connection with the transactions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300"/>
          </w:cols>
          <w:pgMar w:left="300" w:top="290" w:right="29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4"/>
          <w:szCs w:val="14"/>
          <w:color w:val="auto"/>
        </w:rPr>
        <w:t>contemplated hereby, neither the Buyer nor any other Person, whether or not acting on behalf of any of the foregoing, makes any other representation or warranty, express or implied, either written or oral, regarding the Buyer, the Buyer Common Shares or otherwise in connection with this Agreement and the transactions contemplated hereby.</w:t>
      </w:r>
    </w:p>
    <w:p>
      <w:pPr>
        <w:spacing w:after="0" w:line="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39"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14"/>
          <w:szCs w:val="14"/>
          <w:color w:val="auto"/>
        </w:rPr>
        <w:t xml:space="preserve">Section 6.1 </w:t>
      </w:r>
      <w:r>
        <w:rPr>
          <w:rFonts w:ascii="Times New Roman" w:cs="Times New Roman" w:eastAsia="Times New Roman" w:hAnsi="Times New Roman"/>
          <w:sz w:val="14"/>
          <w:szCs w:val="14"/>
          <w:u w:val="single" w:color="auto"/>
          <w:color w:val="auto"/>
        </w:rPr>
        <w:t>Waiver and Release</w:t>
      </w:r>
      <w:r>
        <w:rPr>
          <w:rFonts w:ascii="Times New Roman" w:cs="Times New Roman" w:eastAsia="Times New Roman" w:hAnsi="Times New Roman"/>
          <w:sz w:val="14"/>
          <w:szCs w:val="14"/>
          <w:color w:val="auto"/>
        </w:rPr>
        <w:t>. Each of the Sellers and the Sellers Representative (on behalf of each of them and each such Person’s successors and assigns) (collectively, the “Seller Releasors”) hereby irrevocably and unconditionally releases and forever discharges the Buyer, its Affiliates (including the Company and its Subsidiaries), and its and their respective current and former direct and indirect equityholders, members, directors, managers, partners (limited and general), officers, employees, agents, Representatives and their respective successors and assigns (collectively, the “Seller Releasees”) from any and all Actions, claims, charges, complaints, causes of action, damages, losses, costs, expenses and liabilities of any kind or nature whatsoever, whether known or unknown, suspected or unsuspected, fixed or contingent, and whether at law or in equity, that such Seller Releasor has, had, or may have, in any capacity, against any Seller Releasee, whether directly or derivatively through another Person, arising contemporaneously with or prior to the transactions contemplated by this Agreement, or on account of, arising out of or related to any act, omission, transaction, matter, cause or event occurring contemporaneously with or up to and including the date hereof arising out of or related to the Company, its Subsidiaries, its or their respective Affiliates and its or their respective officers, directors and Representatives; provided, that nothing contained in this Section 6.1 shall be deemed to limit (i) any rights pursuant to this Agreement or any Ancillary Agreement, including the Royalty Agreement, or (ii) any rights to indemnification or advancement of expenses to which the current and former directors and officers of the Company or any of its Subsidiaries are entitled pursuant to this Agreement or the certificate of formation or equivalent governing documents of the Company or any of its Subsidiaries; provided, further, that each Seller Releasor agrees not to make, and to waive any claim for, indemnification, advancement of expenses, exculpation or contribution from any Seller Releasee under the certificate of formation or equivalent governing documents of the Company or any of its Subsidiaries, or any indemnification agreement, arrangement or understanding with any Seller Releasee, arising out of or related to any dispute between any Seller Releasee, on the one hand, and a Seller Releasor (acting in any capacity), on the other hand, with respect to any matter arising out of or related to this Agreement or any Ancillary Agreement, other than as may be specifically provided for in Article VIII herein.</w:t>
      </w:r>
    </w:p>
    <w:p>
      <w:pPr>
        <w:spacing w:after="0" w:line="13"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6.2</w:t>
      </w:r>
      <w:r>
        <w:rPr>
          <w:sz w:val="20"/>
          <w:szCs w:val="20"/>
          <w:color w:val="auto"/>
        </w:rPr>
        <w:tab/>
      </w:r>
      <w:r>
        <w:rPr>
          <w:rFonts w:ascii="Times New Roman" w:cs="Times New Roman" w:eastAsia="Times New Roman" w:hAnsi="Times New Roman"/>
          <w:sz w:val="14"/>
          <w:szCs w:val="14"/>
          <w:u w:val="single" w:color="auto"/>
          <w:color w:val="auto"/>
        </w:rPr>
        <w:t>[Intentionally Omitted]</w:t>
      </w:r>
    </w:p>
    <w:p>
      <w:pPr>
        <w:spacing w:after="0" w:line="28"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6.3</w:t>
      </w:r>
      <w:r>
        <w:rPr>
          <w:sz w:val="20"/>
          <w:szCs w:val="20"/>
          <w:color w:val="auto"/>
        </w:rPr>
        <w:tab/>
      </w:r>
      <w:r>
        <w:rPr>
          <w:rFonts w:ascii="Times New Roman" w:cs="Times New Roman" w:eastAsia="Times New Roman" w:hAnsi="Times New Roman"/>
          <w:sz w:val="14"/>
          <w:szCs w:val="14"/>
          <w:u w:val="single" w:color="auto"/>
          <w:color w:val="auto"/>
        </w:rPr>
        <w:t>Confidentiality.</w:t>
      </w:r>
    </w:p>
    <w:p>
      <w:pPr>
        <w:spacing w:after="0" w:line="37" w:lineRule="exact"/>
        <w:rPr>
          <w:sz w:val="20"/>
          <w:szCs w:val="20"/>
          <w:color w:val="auto"/>
        </w:rPr>
      </w:pPr>
    </w:p>
    <w:p>
      <w:pPr>
        <w:jc w:val="both"/>
        <w:ind w:firstLine="856"/>
        <w:spacing w:after="0" w:line="246" w:lineRule="auto"/>
        <w:tabs>
          <w:tab w:leader="none" w:pos="1203"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a period of three years following the date hereof, the Sellers shall not, and each Seller shall cause its Affiliates and the respective Representatives of such Seller and its Affiliates not to, use for its or their own benefit or divulge or convey to any third party, any Confidential Information;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each Seller or its Affiliates may furnish such portion (and only such portion) of the Confidential Information as such Seller or such Affiliate reasonably determines it is legally obligated to disclose if: (i) it receives a request to disclose all or any part of the Confidential Information under the terms of a subpoena, civil investigative demand or order issued by a Governmental Authority; (ii) to the extent not inconsistent with such request, it notifies the Buyer of the existence, terms and circumstances surrounding such request and consults with the Buyer on the advisability of taking steps available under applicable Law to resist or narrow such request; (iii) it exercises its commercially reasonable efforts to obtain an order or other reliable assurance that confidential treatment will be accorded to the disclosed Confidential Information; and (iv) disclosure of such Confidential Information is required to prevent such Seller or such Affiliate from being held in contempt or becoming subject to any other penalty under applicable Law. For purposes of this Agreement, “</w:t>
      </w:r>
      <w:r>
        <w:rPr>
          <w:rFonts w:ascii="Times New Roman" w:cs="Times New Roman" w:eastAsia="Times New Roman" w:hAnsi="Times New Roman"/>
          <w:sz w:val="14"/>
          <w:szCs w:val="14"/>
          <w:u w:val="single" w:color="auto"/>
          <w:color w:val="auto"/>
        </w:rPr>
        <w:t>Confidential Information</w:t>
      </w:r>
      <w:r>
        <w:rPr>
          <w:rFonts w:ascii="Times New Roman" w:cs="Times New Roman" w:eastAsia="Times New Roman" w:hAnsi="Times New Roman"/>
          <w:sz w:val="14"/>
          <w:szCs w:val="14"/>
          <w:color w:val="auto"/>
        </w:rPr>
        <w:t xml:space="preserve">” consists of all information and data relating to the Company or its Subsidiaries or the transactions contemplated hereby (other than data or information that is or becomes available to the public other than as a result of a breach of this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300"/>
          </w:cols>
          <w:pgMar w:left="300" w:top="290" w:right="2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856"/>
        <w:spacing w:after="0" w:line="251" w:lineRule="auto"/>
        <w:tabs>
          <w:tab w:leader="none" w:pos="1211"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as of the Closing, each Seller hereby assigns to the Buyer all of such Seller’s right, title and interest in and to any confidentiality agreements entered into by such Seller (or its Affiliates or Representatives) and each Person (other than the Buyer and its Affiliates and Representatives) who entered into any such agreement or to whom Confidential Information was provided in connection with a business combination involving the Company or its Affiliates. From and after the Closing, each Seller will take all actions reasonably requested by the Buyer in order to assist in enforcing the rights so assigned. Each Seller shall use its commercially reasonable efforts to cause any such Person to return to such Seller any documents, files, data or other materials constituting Confidential Information that was provided to such Person in connection with the consideration of any such business combination.</w:t>
      </w:r>
    </w:p>
    <w:p>
      <w:pPr>
        <w:spacing w:after="0" w:line="4"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6.4  </w:t>
      </w:r>
      <w:r>
        <w:rPr>
          <w:rFonts w:ascii="Times New Roman" w:cs="Times New Roman" w:eastAsia="Times New Roman" w:hAnsi="Times New Roman"/>
          <w:sz w:val="14"/>
          <w:szCs w:val="14"/>
          <w:u w:val="single" w:color="auto"/>
          <w:color w:val="auto"/>
        </w:rPr>
        <w:t>Further Assurances.</w:t>
      </w:r>
    </w:p>
    <w:p>
      <w:pPr>
        <w:spacing w:after="0" w:line="37" w:lineRule="exact"/>
        <w:rPr>
          <w:sz w:val="20"/>
          <w:szCs w:val="20"/>
          <w:color w:val="auto"/>
        </w:rPr>
      </w:pPr>
    </w:p>
    <w:p>
      <w:pPr>
        <w:jc w:val="both"/>
        <w:ind w:firstLine="856"/>
        <w:spacing w:after="0" w:line="254" w:lineRule="auto"/>
        <w:tabs>
          <w:tab w:leader="none" w:pos="117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Sellers and the Buyer agree that, in the event that any consent, approval or authorization necessary or desirable to preserve for the Company or any of its Subsidiaries any right or benefit under any lease, license, commitment or other Contract to which the Company or any of its Subsidiaries is a party is not obtained prior to the Closing, the Sellers shall, subsequent to the Closing, cooperate with the Buyer, the Company and its Subsidiaries in attempting to obtain such consent, approval or authorization as promptly thereafter as practicable.</w:t>
      </w:r>
    </w:p>
    <w:p>
      <w:pPr>
        <w:spacing w:after="0" w:line="1" w:lineRule="exact"/>
        <w:rPr>
          <w:rFonts w:ascii="Times New Roman" w:cs="Times New Roman" w:eastAsia="Times New Roman" w:hAnsi="Times New Roman"/>
          <w:sz w:val="14"/>
          <w:szCs w:val="14"/>
          <w:color w:val="auto"/>
        </w:rPr>
      </w:pPr>
    </w:p>
    <w:p>
      <w:pPr>
        <w:jc w:val="both"/>
        <w:ind w:firstLine="856"/>
        <w:spacing w:after="0" w:line="259" w:lineRule="auto"/>
        <w:tabs>
          <w:tab w:leader="none" w:pos="125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 to time after the Closing, and for no further consideration, each of the parties shall execute, acknowledge and deliver such assignments, transfers, consents, assumptions and other documents and instruments and take such other actions as may be necessary or desirable to consummate and make effective the transactions contemplated by this Agreement and the Ancillary Agreements.</w:t>
      </w:r>
    </w:p>
    <w:p>
      <w:pPr>
        <w:spacing w:after="0" w:line="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 xml:space="preserve">Section 6.5 </w:t>
      </w:r>
      <w:r>
        <w:rPr>
          <w:rFonts w:ascii="Times New Roman" w:cs="Times New Roman" w:eastAsia="Times New Roman" w:hAnsi="Times New Roman"/>
          <w:sz w:val="14"/>
          <w:szCs w:val="14"/>
          <w:u w:val="single" w:color="auto"/>
          <w:color w:val="auto"/>
        </w:rPr>
        <w:t>Public Announcements.</w:t>
      </w:r>
      <w:r>
        <w:rPr>
          <w:rFonts w:ascii="Times New Roman" w:cs="Times New Roman" w:eastAsia="Times New Roman" w:hAnsi="Times New Roman"/>
          <w:sz w:val="14"/>
          <w:szCs w:val="14"/>
          <w:color w:val="auto"/>
        </w:rPr>
        <w:t xml:space="preserve"> No Seller shall, and each shall cause its respective Affiliates and its and their Representatives not to, issue any press release or make any other public statement with respect to this Agreement or the transactions contemplated hereby without first consulting with the Buyer, giving the Buyer a reasonable opportunity to review and comment upon such proposed disclosure, and obtaining the prior written consent of the Buyer to such proposed disclosure.</w:t>
      </w:r>
    </w:p>
    <w:p>
      <w:pPr>
        <w:spacing w:after="0" w:line="1"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4"/>
          <w:szCs w:val="14"/>
          <w:color w:val="auto"/>
        </w:rPr>
        <w:t xml:space="preserve">Section 6.6 </w:t>
      </w:r>
      <w:r>
        <w:rPr>
          <w:rFonts w:ascii="Times New Roman" w:cs="Times New Roman" w:eastAsia="Times New Roman" w:hAnsi="Times New Roman"/>
          <w:sz w:val="14"/>
          <w:szCs w:val="14"/>
          <w:u w:val="single" w:color="auto"/>
          <w:color w:val="auto"/>
        </w:rPr>
        <w:t>Books and Records.</w:t>
      </w:r>
      <w:r>
        <w:rPr>
          <w:rFonts w:ascii="Times New Roman" w:cs="Times New Roman" w:eastAsia="Times New Roman" w:hAnsi="Times New Roman"/>
          <w:sz w:val="14"/>
          <w:szCs w:val="14"/>
          <w:color w:val="auto"/>
        </w:rPr>
        <w:t xml:space="preserve"> Each Seller acknowledges and agrees that from and after the Closing, the Buyer will be entitled to the originals of all books and records of the Company and its Subsidiaries. At the Closing, the Sellers Representative will promptly cause to be delivered to the Buyer such originals or copies of all books and records of the Company and its Subsidiaries or otherwise confirm such books and records are located at the offices of the Company and its Subsidiaries, as requested by the Buyer. The Buyer agrees that it shall, and shall cause the Company and its Subsidiaries to, use reasonable best efforts to preserve and keep the books and records of the Company and its Subsidiaries in existence as of the Closing for a period of six years after the date hereof. The Buyer shall cooperate in all reasonable respects with the Sellers and will make available to the Sellers, during normal business hours, the books and records of the Company and its Subsidiaries which relate to any period that includes or precedes the date hereof and which are necessary in connection with the preparation or filing of any Tax Return, audit or similar investigation or any dispute, arbitration or litigation, or in order to enable any Seller to comply with its obligations under this Agreement or the Ancillary Agreements.</w:t>
      </w:r>
    </w:p>
    <w:p>
      <w:pPr>
        <w:spacing w:after="0" w:line="6"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6.7</w:t>
      </w:r>
      <w:r>
        <w:rPr>
          <w:sz w:val="20"/>
          <w:szCs w:val="20"/>
          <w:color w:val="auto"/>
        </w:rPr>
        <w:tab/>
      </w:r>
      <w:r>
        <w:rPr>
          <w:rFonts w:ascii="Times New Roman" w:cs="Times New Roman" w:eastAsia="Times New Roman" w:hAnsi="Times New Roman"/>
          <w:sz w:val="14"/>
          <w:szCs w:val="14"/>
          <w:u w:val="single" w:color="auto"/>
          <w:color w:val="auto"/>
        </w:rPr>
        <w:t>Indemnification and Insurance.</w:t>
      </w:r>
    </w:p>
    <w:p>
      <w:pPr>
        <w:spacing w:after="0" w:line="37" w:lineRule="exact"/>
        <w:rPr>
          <w:sz w:val="20"/>
          <w:szCs w:val="20"/>
          <w:color w:val="auto"/>
        </w:rPr>
      </w:pPr>
    </w:p>
    <w:p>
      <w:pPr>
        <w:jc w:val="both"/>
        <w:ind w:firstLine="856"/>
        <w:spacing w:after="0" w:line="251" w:lineRule="auto"/>
        <w:tabs>
          <w:tab w:leader="none" w:pos="1177"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Buyer agrees that all rights to indemnification for acts or omissions occurring prior to the date hereof now existing in favor of the current or former directors, officers and other fiduciaries of the Company or any of its Subsidiaries (collectively, the “</w:t>
      </w:r>
      <w:r>
        <w:rPr>
          <w:rFonts w:ascii="Times New Roman" w:cs="Times New Roman" w:eastAsia="Times New Roman" w:hAnsi="Times New Roman"/>
          <w:sz w:val="14"/>
          <w:szCs w:val="14"/>
          <w:u w:val="single" w:color="auto"/>
          <w:color w:val="auto"/>
        </w:rPr>
        <w:t>Directors</w:t>
      </w:r>
      <w:r>
        <w:rPr>
          <w:rFonts w:ascii="Times New Roman" w:cs="Times New Roman" w:eastAsia="Times New Roman" w:hAnsi="Times New Roman"/>
          <w:sz w:val="14"/>
          <w:szCs w:val="14"/>
          <w:color w:val="auto"/>
        </w:rPr>
        <w:t>”) as provided as of the date hereof in the certificate of formation or equivalent governance documents of the Company or any of its Subsidiaries or in any contractual indemnification agreements or other indemnification arrangements between the Company or any of its Subsidiaries and any Director shall survive the transactions contemplated by this Agreement and the Ancillary Agreements and shall continue in full force and effect in accordance with their terms for a period of not less than six years from the date hereof. The Buyer shall not, and shall cause its Affiliates (including the Company and its Subsidiaries after the Closing) not to,</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300"/>
          </w:cols>
          <w:pgMar w:left="300" w:top="290" w:right="299" w:bottom="1440" w:gutter="0" w:footer="0" w:header="0"/>
        </w:sectPr>
      </w:pPr>
    </w:p>
    <w:bookmarkStart w:id="55" w:name="page56"/>
    <w:bookmarkEnd w:id="55"/>
    <w:p>
      <w:pPr>
        <w:ind w:left="10620"/>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repeal such Contracts or arrangements in any manner that would adversely affect the rights of the Directors thereunder.</w:t>
      </w:r>
    </w:p>
    <w:p>
      <w:pPr>
        <w:spacing w:after="0" w:line="37" w:lineRule="exact"/>
        <w:rPr>
          <w:sz w:val="20"/>
          <w:szCs w:val="20"/>
          <w:color w:val="auto"/>
        </w:rPr>
      </w:pPr>
    </w:p>
    <w:p>
      <w:pPr>
        <w:jc w:val="both"/>
        <w:ind w:firstLine="856"/>
        <w:spacing w:after="0" w:line="254" w:lineRule="auto"/>
        <w:tabs>
          <w:tab w:leader="none" w:pos="1197"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the Buyer, the Company or any of its Subsidiaries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the Buyer, the Company or any of its Subsidiaries, as the case may be, shall assume all of the obligations set forth in this </w:t>
      </w:r>
      <w:r>
        <w:rPr>
          <w:rFonts w:ascii="Times New Roman" w:cs="Times New Roman" w:eastAsia="Times New Roman" w:hAnsi="Times New Roman"/>
          <w:sz w:val="14"/>
          <w:szCs w:val="14"/>
          <w:u w:val="single" w:color="auto"/>
          <w:color w:val="auto"/>
        </w:rPr>
        <w:t>Section 6.7</w:t>
      </w:r>
      <w:r>
        <w:rPr>
          <w:rFonts w:ascii="Times New Roman" w:cs="Times New Roman" w:eastAsia="Times New Roman" w:hAnsi="Times New Roman"/>
          <w:sz w:val="14"/>
          <w:szCs w:val="14"/>
          <w:color w:val="auto"/>
        </w:rPr>
        <w:t xml:space="preserve"> as a condition to the consummation of any such transaction.</w:t>
      </w:r>
    </w:p>
    <w:p>
      <w:pPr>
        <w:spacing w:after="0" w:line="2" w:lineRule="exact"/>
        <w:rPr>
          <w:rFonts w:ascii="Times New Roman" w:cs="Times New Roman" w:eastAsia="Times New Roman" w:hAnsi="Times New Roman"/>
          <w:sz w:val="14"/>
          <w:szCs w:val="14"/>
          <w:color w:val="auto"/>
        </w:rPr>
      </w:pPr>
    </w:p>
    <w:p>
      <w:pPr>
        <w:ind w:firstLine="856"/>
        <w:spacing w:after="0" w:line="268" w:lineRule="auto"/>
        <w:tabs>
          <w:tab w:leader="none" w:pos="1185"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obligations of the Buyer under this </w:t>
      </w:r>
      <w:r>
        <w:rPr>
          <w:rFonts w:ascii="Times New Roman" w:cs="Times New Roman" w:eastAsia="Times New Roman" w:hAnsi="Times New Roman"/>
          <w:sz w:val="14"/>
          <w:szCs w:val="14"/>
          <w:u w:val="single" w:color="auto"/>
          <w:color w:val="auto"/>
        </w:rPr>
        <w:t>Section 6.7</w:t>
      </w:r>
      <w:r>
        <w:rPr>
          <w:rFonts w:ascii="Times New Roman" w:cs="Times New Roman" w:eastAsia="Times New Roman" w:hAnsi="Times New Roman"/>
          <w:sz w:val="14"/>
          <w:szCs w:val="14"/>
          <w:color w:val="auto"/>
        </w:rPr>
        <w:t xml:space="preserve"> shall not be terminated or modified in such a manner as to adversely affect any Director to whom this </w:t>
      </w:r>
      <w:r>
        <w:rPr>
          <w:rFonts w:ascii="Times New Roman" w:cs="Times New Roman" w:eastAsia="Times New Roman" w:hAnsi="Times New Roman"/>
          <w:sz w:val="14"/>
          <w:szCs w:val="14"/>
          <w:u w:val="single" w:color="auto"/>
          <w:color w:val="auto"/>
        </w:rPr>
        <w:t>Section 6.7</w:t>
      </w:r>
      <w:r>
        <w:rPr>
          <w:rFonts w:ascii="Times New Roman" w:cs="Times New Roman" w:eastAsia="Times New Roman" w:hAnsi="Times New Roman"/>
          <w:sz w:val="14"/>
          <w:szCs w:val="14"/>
          <w:color w:val="auto"/>
        </w:rPr>
        <w:t xml:space="preserve"> applies without the consent of such Director so adversely affected.</w:t>
      </w:r>
    </w:p>
    <w:p>
      <w:pPr>
        <w:jc w:val="both"/>
        <w:ind w:firstLine="432"/>
        <w:spacing w:after="0" w:line="244" w:lineRule="auto"/>
        <w:rPr>
          <w:sz w:val="20"/>
          <w:szCs w:val="20"/>
          <w:color w:val="auto"/>
        </w:rPr>
      </w:pPr>
      <w:r>
        <w:rPr>
          <w:rFonts w:ascii="Times New Roman" w:cs="Times New Roman" w:eastAsia="Times New Roman" w:hAnsi="Times New Roman"/>
          <w:sz w:val="14"/>
          <w:szCs w:val="14"/>
          <w:color w:val="auto"/>
        </w:rPr>
        <w:t xml:space="preserve">Section 6.8 </w:t>
      </w:r>
      <w:r>
        <w:rPr>
          <w:rFonts w:ascii="Times New Roman" w:cs="Times New Roman" w:eastAsia="Times New Roman" w:hAnsi="Times New Roman"/>
          <w:sz w:val="14"/>
          <w:szCs w:val="14"/>
          <w:u w:val="single" w:color="auto"/>
          <w:color w:val="auto"/>
        </w:rPr>
        <w:t>Facilitation of Sales Pursuant to Rule 144.</w:t>
      </w:r>
      <w:r>
        <w:rPr>
          <w:rFonts w:ascii="Times New Roman" w:cs="Times New Roman" w:eastAsia="Times New Roman" w:hAnsi="Times New Roman"/>
          <w:sz w:val="14"/>
          <w:szCs w:val="14"/>
          <w:color w:val="auto"/>
        </w:rPr>
        <w:t xml:space="preserve"> To the extent it shall be required to do so under the Exchange Act to allow the Sellers to sell or transfer the Aggregate Stock Closing Consideration six months from the Closing Date, Buyer shall timely file the reports required to be filed by it under the Exchange Act or the Securities Act (including the reports under Sections 13 and 15(d) of the Exchange Act referred to in subparagraph (c)(1) of Rule 144) to the extent required from time to time to enable Sellers to sell the Aggregate Stock Closing Consideration without registration under the Securities Act pursuant to Rule 144, and to take such further action as a Seller may reasonably request, all to the extent required from time to time to enable the Sellers to sell the Aggregate Stock Closing Consideration without registration under the Securities Act within the limitations of the exemption provided by Rule 144, including providing (i) opinion(s) of counsel, at the Buyer’s sole cost and expense, as may be reasonably necessary in order for each Seller to avail itself of Rule 144 to allow a Seller to sell such Aggregate Stock Closing Consideration without registration, and (ii) any other authorizations, certificates and directions required by the transfer agent which authorize and direct the transfer agent to remove any applicable Securities Act legend or restriction that may be placed on the Aggregate Stock Closing Consideration; provided that Buyer may, in its discretion, require letters of representation from such Sellers and any applicable custodians/brokers prior to the delivery of such opinion. Buyer agrees to authorize its counsel upon instruction from Sellers’ counsel to take such action, subject to Rule 144, to enable the Sellers to sell the Aggregate Stock Closing Consideration promptly upon written notice thereof after the expiration of such six-month period from Closing.</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TAX MATTERS</w:t>
      </w:r>
    </w:p>
    <w:p>
      <w:pPr>
        <w:spacing w:after="0" w:line="30"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7.1</w:t>
      </w:r>
      <w:r>
        <w:rPr>
          <w:sz w:val="20"/>
          <w:szCs w:val="20"/>
          <w:color w:val="auto"/>
        </w:rPr>
        <w:tab/>
      </w:r>
      <w:r>
        <w:rPr>
          <w:rFonts w:ascii="Times New Roman" w:cs="Times New Roman" w:eastAsia="Times New Roman" w:hAnsi="Times New Roman"/>
          <w:sz w:val="13"/>
          <w:szCs w:val="13"/>
          <w:u w:val="single" w:color="auto"/>
          <w:color w:val="auto"/>
        </w:rPr>
        <w:t>Tax Returns.</w:t>
      </w:r>
    </w:p>
    <w:p>
      <w:pPr>
        <w:spacing w:after="0" w:line="37" w:lineRule="exact"/>
        <w:rPr>
          <w:sz w:val="20"/>
          <w:szCs w:val="20"/>
          <w:color w:val="auto"/>
        </w:rPr>
      </w:pPr>
    </w:p>
    <w:p>
      <w:pPr>
        <w:jc w:val="both"/>
        <w:ind w:firstLine="856"/>
        <w:spacing w:after="0" w:line="259" w:lineRule="auto"/>
        <w:tabs>
          <w:tab w:leader="none" w:pos="119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Sellers and their respective Affiliates shall prepare or cause to be prepared and file or cause to be filed any Tax Returns of the Company and its Subsidiaries for income Taxes that are imposed on a “flow-through” basis for Tax periods ending on or prior to the date hereof (“</w:t>
      </w:r>
      <w:r>
        <w:rPr>
          <w:rFonts w:ascii="Times New Roman" w:cs="Times New Roman" w:eastAsia="Times New Roman" w:hAnsi="Times New Roman"/>
          <w:sz w:val="14"/>
          <w:szCs w:val="14"/>
          <w:u w:val="single" w:color="auto"/>
          <w:color w:val="auto"/>
        </w:rPr>
        <w:t>Pre-Closing Flow-Through Returns</w:t>
      </w:r>
      <w:r>
        <w:rPr>
          <w:rFonts w:ascii="Times New Roman" w:cs="Times New Roman" w:eastAsia="Times New Roman" w:hAnsi="Times New Roman"/>
          <w:sz w:val="14"/>
          <w:szCs w:val="14"/>
          <w:color w:val="auto"/>
        </w:rPr>
        <w:t>”) and shall be solely responsible for and shall pay or cause to be paid all Taxes shown as due thereon.</w:t>
      </w:r>
    </w:p>
    <w:p>
      <w:pPr>
        <w:jc w:val="both"/>
        <w:ind w:firstLine="856"/>
        <w:spacing w:after="0" w:line="259" w:lineRule="auto"/>
        <w:tabs>
          <w:tab w:leader="none" w:pos="1248"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Closing, the Buyer will cause to be prepared and timely filed all Tax Returns (other than Pre-Closing Flow-Through Returns) required to be filed by the Company and each of its Subsidiaries first required to be filed after the date hereof (taking into account extensions of time to file) except to the extent such Tax Returns are actually filed prior to the date hereof, and shall pay or cause to be paid all Taxes shown as due thereon.</w:t>
      </w:r>
    </w:p>
    <w:p>
      <w:pPr>
        <w:spacing w:after="0" w:line="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Cooperation.</w:t>
      </w:r>
      <w:r>
        <w:rPr>
          <w:rFonts w:ascii="Times New Roman" w:cs="Times New Roman" w:eastAsia="Times New Roman" w:hAnsi="Times New Roman"/>
          <w:sz w:val="14"/>
          <w:szCs w:val="14"/>
          <w:color w:val="auto"/>
        </w:rPr>
        <w:t xml:space="preserve"> The Buyer and the Sellers Representative shall cooperate fully, and shall cause their respective Affiliates to cooperate fully, as and to the extent reasonably requested by either the Buyer or the Sellers Representative, in connection with the filing of Tax Returns pursuant to this Article VII and any audit, litigation or other proceeding (each a “Tax Proceeding”) with respect to such Tax Returns. Such cooperation shall include the retention and (upon the Buyer’s or the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-132715</wp:posOffset>
            </wp:positionV>
            <wp:extent cx="2857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75" cy="5715"/>
                    </a:xfrm>
                    <a:prstGeom prst="rect">
                      <a:avLst/>
                    </a:prstGeom>
                    <a:noFill/>
                  </pic:spPr>
                </pic:pic>
              </a:graphicData>
            </a:graphic>
          </wp:anchor>
        </w:drawing>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300"/>
          </w:cols>
          <w:pgMar w:left="300" w:top="290" w:right="2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4"/>
          <w:szCs w:val="14"/>
          <w:color w:val="auto"/>
        </w:rPr>
        <w:t>Representative’s request) the provision of records and information which are reasonably relevant to any such Tax Proceeding and making employees available on a mutually convenient basis to provide additional information and explanation of any material provided hereunder.</w:t>
      </w:r>
    </w:p>
    <w:p>
      <w:pPr>
        <w:jc w:val="both"/>
        <w:ind w:firstLine="432"/>
        <w:spacing w:after="0" w:line="246" w:lineRule="auto"/>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Transfer Taxes.</w:t>
      </w:r>
      <w:r>
        <w:rPr>
          <w:rFonts w:ascii="Times New Roman" w:cs="Times New Roman" w:eastAsia="Times New Roman" w:hAnsi="Times New Roman"/>
          <w:sz w:val="14"/>
          <w:szCs w:val="14"/>
          <w:color w:val="auto"/>
        </w:rPr>
        <w:t xml:space="preserve"> In the event that any Transfer Taxes (but, for the avoidance of doubt, not any Taxes based on or measured by income) are imposed in connection with this Agreement or the transactions contemplated hereby, the Sellers, severally and not jointly, in accordance with each such Seller’s Pro Rata Share, on the one hand, and the Buyer, on the other hand, shall each be liable for 50% of any and all Transfer Taxes. The Sellers Representative and the Buyer agree to cooperate in the execution and delivery of all instruments and certificates reasonably necessary to remit and/or minimize the amount of any Transfer Taxes. If any Seller is required by Law to pay any such Transfer Taxes, the Buyer shall promptly reimburse such Seller within ten days of receipt of written request from such Seller for 50% of such Transfer Taxes. If the Buyer is required by Law to pay any such Transfer Taxes, the Sellers, severally and not jointly, in accordance with each such Seller’s Pro Rata Share, shall promptly reimburse the Buyer within ten days of receipt of written request from the Buyer for 50% of such Transfer Taxes. The Buyer shall timely prepare and file any Tax Returns required in respect of Transfer Taxes.</w:t>
      </w:r>
    </w:p>
    <w:p>
      <w:pPr>
        <w:spacing w:after="0" w:line="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7.4 </w:t>
      </w:r>
      <w:r>
        <w:rPr>
          <w:rFonts w:ascii="Times New Roman" w:cs="Times New Roman" w:eastAsia="Times New Roman" w:hAnsi="Times New Roman"/>
          <w:sz w:val="14"/>
          <w:szCs w:val="14"/>
          <w:u w:val="single" w:color="auto"/>
          <w:color w:val="auto"/>
        </w:rPr>
        <w:t>Pre-Closing Period Proration.</w:t>
      </w:r>
      <w:r>
        <w:rPr>
          <w:rFonts w:ascii="Times New Roman" w:cs="Times New Roman" w:eastAsia="Times New Roman" w:hAnsi="Times New Roman"/>
          <w:sz w:val="14"/>
          <w:szCs w:val="14"/>
          <w:color w:val="auto"/>
        </w:rPr>
        <w:t xml:space="preserve"> For purposes of this Agreement, income Taxes for the Pre-Closing Period ending on the date hereof shall be determined based on an actual closing of the books used to calculate such Taxes as if such Tax period ended as of the close of business on the date hereof. In the case of exemptions, allowances or deductions that are calculated on an annual basis (including depreciation and amortization deductions computed as if the date hereof was the last day of the Pre-Closing Period) shall be allocated between the portion of the Pre-Closing Period ending on the date hereof and the portion of the Pre-Closing Period thereafter in proportion to the number of days in each such portion.</w:t>
      </w:r>
    </w:p>
    <w:p>
      <w:pPr>
        <w:spacing w:after="0" w:line="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Intended Tax Treatment</w:t>
      </w:r>
      <w:r>
        <w:rPr>
          <w:rFonts w:ascii="Times New Roman" w:cs="Times New Roman" w:eastAsia="Times New Roman" w:hAnsi="Times New Roman"/>
          <w:sz w:val="14"/>
          <w:szCs w:val="14"/>
          <w:color w:val="auto"/>
        </w:rPr>
        <w:t>. The parties hereto intend for U.S. federal and applicable state and local income tax purposes that the purchase and sale of the Equity Interests will be treated by the Sellers as the purchase and sale of the equity interests of the Sellers in the Company and by the Buyer as the purchase of all the assets of the Company (the “Intended Tax Treatment”), in accordance with IRS Revenue Ruling 99-6, Situation 2. The parties hereto shall act for all tax purposes, including filing Tax Returns, consistently with the Intended Tax Treatment unless otherwise required by a “determination” within the meaning of Section 1313(a) of the Code.</w:t>
      </w:r>
    </w:p>
    <w:p>
      <w:pPr>
        <w:spacing w:after="0" w:line="1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GENERAL PROVISIONS</w:t>
      </w:r>
    </w:p>
    <w:p>
      <w:pPr>
        <w:spacing w:after="0" w:line="30"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8.1</w:t>
      </w:r>
      <w:r>
        <w:rPr>
          <w:sz w:val="20"/>
          <w:szCs w:val="20"/>
          <w:color w:val="auto"/>
        </w:rPr>
        <w:tab/>
      </w:r>
      <w:r>
        <w:rPr>
          <w:rFonts w:ascii="Times New Roman" w:cs="Times New Roman" w:eastAsia="Times New Roman" w:hAnsi="Times New Roman"/>
          <w:sz w:val="14"/>
          <w:szCs w:val="14"/>
          <w:u w:val="single" w:color="auto"/>
          <w:color w:val="auto"/>
        </w:rPr>
        <w:t>Non-Survival of Representations and Warranties and Certain Covenants</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jc w:val="both"/>
        <w:ind w:firstLine="856"/>
        <w:spacing w:after="0" w:line="246" w:lineRule="auto"/>
        <w:tabs>
          <w:tab w:leader="none" w:pos="1179"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representations and warranties and the covenants and agreements (to the extent such covenant or agreement contemplates or requires performance by a party on or prior to the Closing) of the parties set forth in this Agreement or in any other document contemplated hereby, or in any certificate delivered hereunder or thereunder, will terminate effective immediately as of the Closing, such that, other than in connection with Fraud, no claim for breach of any such representation, warranty, covenant or agreement, detrimental reliance or other right or remedy (whether in contract, in tort or at Law or in equity) may be brought with respect thereto after the Closing to the extent arising under or based upon this Agreement. Each covenant and agreement that explicitly contemplates performance, in whole or in part, after the Closing, will, in each case and to such extent, expressly survive the Closing in accordance with its terms, and no party shall have any liability or other obligation with respect to any such surviving covenant after the applicable survival period of such surviving covenant, it being understood that nothing in this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will be deemed to limit any rights or remedies of any Person for breach of any such surviving covenant or agreement until fully performed. Except for claims for Fraud, Buyer acknowledges that the R&amp;W Policy is being obtained at Closing for coverage of each of the Sellers’ indemnification obligations pursuant to the representations and warranties of the Company and its Subsidiaries and the Sellers contained in this Agreement. Notwithstanding anything to the contrary in this Agreement, 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1300"/>
          </w:cols>
          <w:pgMar w:left="300" w:top="290" w:right="299" w:bottom="1440" w:gutter="0" w:footer="0" w:header="0"/>
        </w:sectPr>
      </w:pPr>
    </w:p>
    <w:bookmarkStart w:id="57" w:name="page58"/>
    <w:bookmarkEnd w:id="57"/>
    <w:p>
      <w:pPr>
        <w:ind w:left="10620"/>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 xml:space="preserve">respect to any and all losses that arise from, are based upon, are related to or are associated with any breach of, or inaccuracy in, any of the representations or warranties made by the Company and/or its Subsidiaries and/or any Sellers, the Buyer’s sole and exclusive recourse for the indemnification obligations under this Agreement, except in the case of Fraud, shall be limited to claims against the R&amp;W Policy. Notwithstanding anything to the contrary in this Agreement, nothing in this Agreement, including this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shall in any way limit the Buyer or its Affiliates from making any claims or receiving any recoveries under the R&amp;W Policy, whether for breaches under this Agreement or any other claim that may be permitted to be made under the R&amp;W Policy.</w:t>
      </w:r>
    </w:p>
    <w:p>
      <w:pPr>
        <w:spacing w:after="0" w:line="2" w:lineRule="exact"/>
        <w:rPr>
          <w:sz w:val="20"/>
          <w:szCs w:val="20"/>
          <w:color w:val="auto"/>
        </w:rPr>
      </w:pPr>
    </w:p>
    <w:p>
      <w:pPr>
        <w:ind w:firstLine="856"/>
        <w:spacing w:after="0" w:line="268" w:lineRule="auto"/>
        <w:tabs>
          <w:tab w:leader="none" w:pos="119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Buyer and Sellers acknowledge and agree that the agreements contained in this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are an integral part of the transactions contemplated hereby and that, without the agreements set forth in this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none of the parties would enter into this Agreement.</w:t>
      </w:r>
    </w:p>
    <w:p>
      <w:pPr>
        <w:jc w:val="both"/>
        <w:ind w:firstLine="432"/>
        <w:spacing w:after="0" w:line="246" w:lineRule="auto"/>
        <w:rPr>
          <w:sz w:val="20"/>
          <w:szCs w:val="20"/>
          <w:color w:val="auto"/>
        </w:rPr>
      </w:pPr>
      <w:r>
        <w:rPr>
          <w:rFonts w:ascii="Times New Roman" w:cs="Times New Roman" w:eastAsia="Times New Roman" w:hAnsi="Times New Roman"/>
          <w:sz w:val="14"/>
          <w:szCs w:val="14"/>
          <w:color w:val="auto"/>
        </w:rPr>
        <w:t xml:space="preserve">Section 8.2 </w:t>
      </w:r>
      <w:r>
        <w:rPr>
          <w:rFonts w:ascii="Times New Roman" w:cs="Times New Roman" w:eastAsia="Times New Roman" w:hAnsi="Times New Roman"/>
          <w:sz w:val="14"/>
          <w:szCs w:val="14"/>
          <w:u w:val="single" w:color="auto"/>
          <w:color w:val="auto"/>
        </w:rPr>
        <w:t>Fees and Expenses.</w:t>
      </w:r>
      <w:r>
        <w:rPr>
          <w:rFonts w:ascii="Times New Roman" w:cs="Times New Roman" w:eastAsia="Times New Roman" w:hAnsi="Times New Roman"/>
          <w:sz w:val="14"/>
          <w:szCs w:val="14"/>
          <w:color w:val="auto"/>
        </w:rPr>
        <w:t xml:space="preserve"> Except as otherwise provided herein, all fees and expenses (including legal, accounting, consulting, and investment advisory fees and expenses) incurred in connection with or related to this Agreement and the Ancillary Agreements and the transactions contemplated hereby and thereby shall be paid by the party incurring such fees or expenses; provided, that Transaction Expenses shall be borne and paid as provided in this Agreement. The Buyer, on the one hand, and the Sellers, on the other hand, shall each bear fifty percent (50%) of the amounts charged by the insurance company and the broker associated with obtaining the R&amp;W Policy. The Sellers shall not be responsible for any other costs and expenses associated with obtaining the R&amp;W Policy, including fees and expenses (including legal, accounting, consulting, and investment advisory fees and expenses) related to the Buyer’s due diligence and any resulting creation, presentation and delivery of the due diligence memorandum used in connection with obtaining the R&amp;W Policy.</w:t>
      </w:r>
    </w:p>
    <w:p>
      <w:pPr>
        <w:spacing w:after="0" w:line="9"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 xml:space="preserve">Section 8.3 </w:t>
      </w:r>
      <w:r>
        <w:rPr>
          <w:rFonts w:ascii="Times New Roman" w:cs="Times New Roman" w:eastAsia="Times New Roman" w:hAnsi="Times New Roman"/>
          <w:sz w:val="14"/>
          <w:szCs w:val="14"/>
          <w:u w:val="single" w:color="auto"/>
          <w:color w:val="auto"/>
        </w:rPr>
        <w:t>Amendment and Modification.</w:t>
      </w:r>
      <w:r>
        <w:rPr>
          <w:rFonts w:ascii="Times New Roman" w:cs="Times New Roman" w:eastAsia="Times New Roman" w:hAnsi="Times New Roman"/>
          <w:sz w:val="14"/>
          <w:szCs w:val="14"/>
          <w:color w:val="auto"/>
        </w:rPr>
        <w:t xml:space="preserve"> This Agreement may not be amended, modified or supplemented in any manner, whether by course of conduct or otherwise, except by an instrument in writing specifically designated as an amendment hereto, signed on behalf of each party.</w:t>
      </w:r>
    </w:p>
    <w:p>
      <w:pPr>
        <w:jc w:val="both"/>
        <w:ind w:right="20" w:firstLine="432"/>
        <w:spacing w:after="0" w:line="255" w:lineRule="auto"/>
        <w:rPr>
          <w:sz w:val="20"/>
          <w:szCs w:val="20"/>
          <w:color w:val="auto"/>
        </w:rPr>
      </w:pPr>
      <w:r>
        <w:rPr>
          <w:rFonts w:ascii="Times New Roman" w:cs="Times New Roman" w:eastAsia="Times New Roman" w:hAnsi="Times New Roman"/>
          <w:sz w:val="14"/>
          <w:szCs w:val="14"/>
          <w:color w:val="auto"/>
        </w:rPr>
        <w:t xml:space="preserve">Section 8.4 </w:t>
      </w:r>
      <w:r>
        <w:rPr>
          <w:rFonts w:ascii="Times New Roman" w:cs="Times New Roman" w:eastAsia="Times New Roman" w:hAnsi="Times New Roman"/>
          <w:sz w:val="14"/>
          <w:szCs w:val="14"/>
          <w:u w:val="single" w:color="auto"/>
          <w:color w:val="auto"/>
        </w:rPr>
        <w:t>Waiver</w:t>
      </w:r>
      <w:r>
        <w:rPr>
          <w:rFonts w:ascii="Times New Roman" w:cs="Times New Roman" w:eastAsia="Times New Roman" w:hAnsi="Times New Roman"/>
          <w:sz w:val="14"/>
          <w:szCs w:val="14"/>
          <w:color w:val="auto"/>
        </w:rPr>
        <w:t>.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 Any agreement on the part of either party to any such waiver shall be valid only if set forth in a written instrument executed and delivered by a duly authorized officer on behalf of such party.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300"/>
          </w:cols>
          <w:pgMar w:left="300" w:top="290" w:right="2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8" w:firstLine="432"/>
        <w:spacing w:after="0" w:line="186" w:lineRule="exact"/>
        <w:rPr>
          <w:sz w:val="20"/>
          <w:szCs w:val="20"/>
          <w:color w:val="auto"/>
        </w:rPr>
      </w:pPr>
      <w:r>
        <w:rPr>
          <w:rFonts w:ascii="Times New Roman" w:cs="Times New Roman" w:eastAsia="Times New Roman" w:hAnsi="Times New Roman"/>
          <w:sz w:val="14"/>
          <w:szCs w:val="14"/>
          <w:color w:val="auto"/>
        </w:rPr>
        <w:t xml:space="preserve">Section 8.5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hereunder shall be in writing and shall be deemed duly given (a) on the date of delivery if delivered personally, or if by 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mail, upon written confirmation of receipt by 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mail or otherwise, (b) on the first Business Day following the date of dispatch if delivered utilizing a next-day service by a recognized next-day courier,</w:t>
      </w:r>
    </w:p>
    <w:p>
      <w:pPr>
        <w:spacing w:after="0" w:line="1" w:lineRule="exact"/>
        <w:rPr>
          <w:sz w:val="20"/>
          <w:szCs w:val="20"/>
          <w:color w:val="auto"/>
        </w:rPr>
      </w:pPr>
    </w:p>
    <w:p>
      <w:pPr>
        <w:jc w:val="both"/>
        <w:ind w:left="8" w:hanging="8"/>
        <w:spacing w:after="0" w:line="249" w:lineRule="auto"/>
        <w:tabs>
          <w:tab w:leader="none" w:pos="205"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earlier of confirmed receipt or the fifth Business Day following the date of mailing if delivered by registered or certified mail, return receipt requested, postage prepaid, and (d) if sent by email, the date on which it is received (unless a “bounceback” message is received). All notices hereunder shall be delivered to the addresses set forth below, or pursuant to such other instructions as may be designated in writing by the party to receive such notice:</w:t>
      </w:r>
    </w:p>
    <w:p>
      <w:pPr>
        <w:spacing w:after="0" w:line="5" w:lineRule="exact"/>
        <w:rPr>
          <w:sz w:val="20"/>
          <w:szCs w:val="20"/>
          <w:color w:val="auto"/>
        </w:rPr>
      </w:pPr>
    </w:p>
    <w:p>
      <w:pPr>
        <w:ind w:left="1288" w:right="8400" w:hanging="424"/>
        <w:spacing w:after="0" w:line="245" w:lineRule="auto"/>
        <w:tabs>
          <w:tab w:leader="none" w:pos="1136"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the Sellers, to: Mule Deer Sky LLC 909 Wirt Road Houston, TX 77024 Attention: Robert Herrin III Email: bherrin@tricresources.com; steve@nuecespartners.com</w:t>
      </w:r>
    </w:p>
    <w:p>
      <w:pPr>
        <w:spacing w:after="0" w:line="172" w:lineRule="exact"/>
        <w:rPr>
          <w:rFonts w:ascii="Times New Roman" w:cs="Times New Roman" w:eastAsia="Times New Roman" w:hAnsi="Times New Roman"/>
          <w:sz w:val="14"/>
          <w:szCs w:val="14"/>
          <w:color w:val="auto"/>
        </w:rPr>
      </w:pPr>
    </w:p>
    <w:p>
      <w:pPr>
        <w:ind w:left="1288" w:right="7160"/>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a copy (which shall not constitute notice) to: CBurke Legal PLLC</w:t>
      </w:r>
    </w:p>
    <w:p>
      <w:pPr>
        <w:ind w:left="1288" w:right="8680"/>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3104 Georgetown St Houston TX 77005 Attention: Carol Burke</w:t>
      </w:r>
    </w:p>
    <w:p>
      <w:pPr>
        <w:ind w:left="128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E-mail: carol@cburkelegal.com</w:t>
      </w:r>
    </w:p>
    <w:p>
      <w:pPr>
        <w:spacing w:after="0" w:line="28" w:lineRule="exact"/>
        <w:rPr>
          <w:rFonts w:ascii="Times New Roman" w:cs="Times New Roman" w:eastAsia="Times New Roman" w:hAnsi="Times New Roman"/>
          <w:sz w:val="14"/>
          <w:szCs w:val="14"/>
          <w:color w:val="auto"/>
        </w:rPr>
      </w:pPr>
    </w:p>
    <w:p>
      <w:pPr>
        <w:ind w:left="1188" w:hanging="324"/>
        <w:spacing w:after="0"/>
        <w:tabs>
          <w:tab w:leader="none" w:pos="1188"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the Buyer or the Company, to:</w:t>
      </w:r>
    </w:p>
    <w:p>
      <w:pPr>
        <w:spacing w:after="0" w:line="3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4"/>
          <w:szCs w:val="14"/>
          <w:color w:val="auto"/>
        </w:rPr>
        <w:t>Natural Gas Services Group, Inc.</w:t>
      </w:r>
    </w:p>
    <w:p>
      <w:pPr>
        <w:spacing w:after="0" w:line="3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4"/>
          <w:szCs w:val="14"/>
          <w:color w:val="auto"/>
        </w:rPr>
        <w:t>601 State Street, Suite 400</w:t>
      </w:r>
    </w:p>
    <w:p>
      <w:pPr>
        <w:spacing w:after="0" w:line="3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4"/>
          <w:szCs w:val="14"/>
          <w:color w:val="auto"/>
        </w:rPr>
        <w:t>Southlake, Texas 76092</w:t>
      </w:r>
    </w:p>
    <w:p>
      <w:pPr>
        <w:spacing w:after="0" w:line="3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4"/>
          <w:szCs w:val="14"/>
          <w:color w:val="auto"/>
        </w:rPr>
        <w:t>Attention: Justin Jacobs;</w:t>
      </w:r>
    </w:p>
    <w:p>
      <w:pPr>
        <w:spacing w:after="0" w:line="3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4"/>
          <w:szCs w:val="14"/>
          <w:color w:val="auto"/>
        </w:rPr>
        <w:t>Ian Eckert E-mail: Justin.Jacobs@ngsgi.com; Ian.Eckert@ngsgi.com</w:t>
      </w:r>
    </w:p>
    <w:p>
      <w:pPr>
        <w:spacing w:after="0" w:line="3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3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4"/>
          <w:szCs w:val="14"/>
          <w:color w:val="auto"/>
        </w:rPr>
        <w:t>Gibson, Dunn &amp; Crutcher LLP</w:t>
      </w:r>
    </w:p>
    <w:p>
      <w:pPr>
        <w:spacing w:after="0" w:line="3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4"/>
          <w:szCs w:val="14"/>
          <w:color w:val="auto"/>
        </w:rPr>
        <w:t>811 Main Street, Suite 3000</w:t>
      </w:r>
    </w:p>
    <w:p>
      <w:pPr>
        <w:spacing w:after="0" w:line="3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4"/>
          <w:szCs w:val="14"/>
          <w:color w:val="auto"/>
        </w:rPr>
        <w:t>Houston, Texas 77002</w:t>
      </w:r>
    </w:p>
    <w:p>
      <w:pPr>
        <w:spacing w:after="0" w:line="28"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4"/>
          <w:szCs w:val="14"/>
          <w:color w:val="auto"/>
        </w:rPr>
        <w:t>Attention: Tull R. Florey</w:t>
      </w:r>
    </w:p>
    <w:p>
      <w:pPr>
        <w:spacing w:after="0" w:line="3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4"/>
          <w:szCs w:val="14"/>
          <w:color w:val="auto"/>
        </w:rPr>
        <w:t>Email: TFlorey@gibsondunn.com</w:t>
      </w:r>
    </w:p>
    <w:p>
      <w:pPr>
        <w:spacing w:after="0" w:line="37" w:lineRule="exact"/>
        <w:rPr>
          <w:sz w:val="20"/>
          <w:szCs w:val="20"/>
          <w:color w:val="auto"/>
        </w:rPr>
      </w:pPr>
    </w:p>
    <w:p>
      <w:pPr>
        <w:ind w:left="1288" w:right="8100" w:hanging="424"/>
        <w:spacing w:after="0" w:line="295" w:lineRule="auto"/>
        <w:tabs>
          <w:tab w:leader="none" w:pos="121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the Sellers Representative, to: Mule Deer Sky LLC</w:t>
      </w:r>
    </w:p>
    <w:p>
      <w:pPr>
        <w:ind w:left="1288" w:right="8580"/>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1920 Nacogdoches Road San Antonio, TX 78209 Attention: Steve Dutton</w:t>
      </w:r>
    </w:p>
    <w:p>
      <w:pPr>
        <w:ind w:left="128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E-mail: steve@nuecespartners.com</w:t>
      </w:r>
    </w:p>
    <w:p>
      <w:pPr>
        <w:spacing w:after="0" w:line="37" w:lineRule="exact"/>
        <w:rPr>
          <w:rFonts w:ascii="Times New Roman" w:cs="Times New Roman" w:eastAsia="Times New Roman" w:hAnsi="Times New Roman"/>
          <w:sz w:val="14"/>
          <w:szCs w:val="14"/>
          <w:color w:val="auto"/>
        </w:rPr>
      </w:pPr>
    </w:p>
    <w:p>
      <w:pPr>
        <w:ind w:left="1288" w:right="7160"/>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a copy (which shall not constitute notice) to: CBurke Legal PLLC</w:t>
      </w:r>
    </w:p>
    <w:p>
      <w:pPr>
        <w:ind w:left="128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3104 Georgetown St</w:t>
      </w:r>
    </w:p>
    <w:p>
      <w:pPr>
        <w:spacing w:after="0" w:line="200" w:lineRule="exact"/>
        <w:rPr>
          <w:sz w:val="20"/>
          <w:szCs w:val="20"/>
          <w:color w:val="auto"/>
        </w:rPr>
      </w:pPr>
    </w:p>
    <w:p>
      <w:pPr>
        <w:spacing w:after="0" w:line="20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1308"/>
          </w:cols>
          <w:pgMar w:left="292" w:top="290" w:right="2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Houston TX 77005</w:t>
      </w:r>
    </w:p>
    <w:p>
      <w:pPr>
        <w:spacing w:after="0" w:line="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Attention: Carol Burke</w:t>
      </w:r>
    </w:p>
    <w:p>
      <w:pPr>
        <w:spacing w:after="0" w:line="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E-mail: carol@cburkelegal.com</w:t>
      </w:r>
    </w:p>
    <w:p>
      <w:pPr>
        <w:spacing w:after="0" w:line="235"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4"/>
          <w:szCs w:val="14"/>
          <w:color w:val="auto"/>
        </w:rPr>
        <w:t xml:space="preserve">Section 8.6 </w:t>
      </w: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xml:space="preserve">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References to documents or other materials “provided” or “made available” to the Buyer shall mean that such documents or other materials were present at least two Business Days prior to the date of this Agreement in the on-line data room maintained by the Sellers and the Company for purposes of the transactions contemplated herein and accessible by Buyer.</w:t>
      </w:r>
    </w:p>
    <w:p>
      <w:pPr>
        <w:spacing w:after="0" w:line="17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 xml:space="preserve">Section 8.7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(including the Exhibits and Schedules hereto), the Ancillary Agreements and the Confidentiality Agreement, dated as of January 28, 2026, between Flatrock Compression LLC and Buyer, constitute the entire agreement, and supersede all prior written agreements, arrangements, communications and understandings and all prior and contemporaneous oral agreements, arrangements, communications and understandings between the parties with respect to the subject matter hereof and thereof.</w:t>
      </w:r>
    </w:p>
    <w:p>
      <w:pPr>
        <w:spacing w:after="0" w:line="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 xml:space="preserve">Section 8.8 </w:t>
      </w:r>
      <w:r>
        <w:rPr>
          <w:rFonts w:ascii="Times New Roman" w:cs="Times New Roman" w:eastAsia="Times New Roman" w:hAnsi="Times New Roman"/>
          <w:sz w:val="14"/>
          <w:szCs w:val="14"/>
          <w:u w:val="single" w:color="auto"/>
          <w:color w:val="auto"/>
        </w:rPr>
        <w:t>No Third-Party Beneficiaries</w:t>
      </w:r>
      <w:r>
        <w:rPr>
          <w:rFonts w:ascii="Times New Roman" w:cs="Times New Roman" w:eastAsia="Times New Roman" w:hAnsi="Times New Roman"/>
          <w:sz w:val="14"/>
          <w:szCs w:val="14"/>
          <w:color w:val="auto"/>
        </w:rPr>
        <w:t>. Except as provided in Section 6.1, nothing in this Agreement, express or implied, is intended to or shall confer upon any Person other than the parties and their respective successors and permitted assigns any legal or equitable right, benefit or remedy of any nature under or by reason of this Agreement.</w:t>
      </w: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8.9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and all disputes or controversies arising out of or relating to this Agreement or the transactions contemplated hereby shall be governed by, and construed in accordance with, the internal Laws of the State of Texas, without regard to the Laws of any other jurisdiction that might be applied because of the conflicts of laws principles of the State of Texas.</w:t>
      </w:r>
    </w:p>
    <w:p>
      <w:pPr>
        <w:spacing w:after="0" w:line="2"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4"/>
          <w:szCs w:val="14"/>
          <w:color w:val="auto"/>
        </w:rPr>
        <w:t xml:space="preserve">Section 8.10 </w:t>
      </w:r>
      <w:r>
        <w:rPr>
          <w:rFonts w:ascii="Times New Roman" w:cs="Times New Roman" w:eastAsia="Times New Roman" w:hAnsi="Times New Roman"/>
          <w:sz w:val="14"/>
          <w:szCs w:val="14"/>
          <w:u w:val="single" w:color="auto"/>
          <w:color w:val="auto"/>
        </w:rPr>
        <w:t>Submission to Jurisdiction</w:t>
      </w:r>
      <w:r>
        <w:rPr>
          <w:rFonts w:ascii="Times New Roman" w:cs="Times New Roman" w:eastAsia="Times New Roman" w:hAnsi="Times New Roman"/>
          <w:sz w:val="14"/>
          <w:szCs w:val="14"/>
          <w:color w:val="auto"/>
        </w:rPr>
        <w:t>. Each of the parties irrevocably agrees that any legal action or proceeding arising out of or relating to this Agreement brought by any party or its successors or assigns against the other party shall be brought and determined in the Texas Business Court, Division IB in the State of Texas located in Dallas County, Texas; provided, that if jurisdiction is not then available in such court, then any such legal action or proceeding may be brought in any federal court located in the State of Texas in Dallas County (the United States District Court for the Northern District of Texas, Dallas Division) or any other Texas state courts located in Dallas County, Texas. Each of the parties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Texas, other than actions in any court of competent jurisdiction to enforce any judgment, decree or award rendered by any such court in Texas as described herein. Each of the parties further agrees that notice as provided herein shall constitute sufficient service of process and the parties further waive any argument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1300"/>
          </w:cols>
          <w:pgMar w:left="300" w:top="290" w:right="29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Texas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Notwithstanding the foregoing, the parties agree that disputes with respect to the matters referenced in Section 2.4 shall be resolved by the Independent Accounting Firm as provided therein.</w:t>
      </w:r>
    </w:p>
    <w:p>
      <w:pPr>
        <w:spacing w:after="0" w:line="6" w:lineRule="exact"/>
        <w:rPr>
          <w:sz w:val="20"/>
          <w:szCs w:val="20"/>
          <w:color w:val="auto"/>
        </w:rPr>
      </w:pPr>
    </w:p>
    <w:p>
      <w:pPr>
        <w:jc w:val="both"/>
        <w:ind w:firstLine="432"/>
        <w:spacing w:after="0" w:line="248" w:lineRule="auto"/>
        <w:rPr>
          <w:sz w:val="20"/>
          <w:szCs w:val="20"/>
          <w:color w:val="auto"/>
        </w:rPr>
      </w:pPr>
      <w:r>
        <w:rPr>
          <w:rFonts w:ascii="Times New Roman" w:cs="Times New Roman" w:eastAsia="Times New Roman" w:hAnsi="Times New Roman"/>
          <w:sz w:val="14"/>
          <w:szCs w:val="14"/>
          <w:color w:val="auto"/>
        </w:rPr>
        <w:t xml:space="preserve">Section 8.11 </w:t>
      </w:r>
      <w:r>
        <w:rPr>
          <w:rFonts w:ascii="Times New Roman" w:cs="Times New Roman" w:eastAsia="Times New Roman" w:hAnsi="Times New Roman"/>
          <w:sz w:val="14"/>
          <w:szCs w:val="14"/>
          <w:u w:val="single" w:color="auto"/>
          <w:color w:val="auto"/>
        </w:rPr>
        <w:t>Assignment; Successors.</w:t>
      </w:r>
      <w:r>
        <w:rPr>
          <w:rFonts w:ascii="Times New Roman" w:cs="Times New Roman" w:eastAsia="Times New Roman" w:hAnsi="Times New Roman"/>
          <w:sz w:val="14"/>
          <w:szCs w:val="14"/>
          <w:color w:val="auto"/>
        </w:rPr>
        <w:t xml:space="preserve"> Neither this Agreement nor any of the rights, interests or obligations under this Agreement may be assigned or delegated, in whole or in part, by operation of Law or otherwise, by either party without the prior written consent of the other party, and any such assignment without such prior written consent shall be null and void; provided, however, that the Buyer may assign any of its rights under this Agreement, including its rights to acquire the Equity Interests, to any Affiliate of the Buyer without the prior consent of the Sellers; provided further, that no assignment shall limit the assignor’s obligations hereunder. Subject to the preceding sentence, this Agreement will be binding upon, inure to the benefit of, and be enforceable by, the parties and their respective successors and assigns.</w:t>
      </w:r>
    </w:p>
    <w:p>
      <w:pPr>
        <w:spacing w:after="0" w:line="5" w:lineRule="exact"/>
        <w:rPr>
          <w:sz w:val="20"/>
          <w:szCs w:val="20"/>
          <w:color w:val="auto"/>
        </w:rPr>
      </w:pPr>
    </w:p>
    <w:p>
      <w:pPr>
        <w:jc w:val="both"/>
        <w:ind w:firstLine="432"/>
        <w:spacing w:after="0" w:line="248" w:lineRule="auto"/>
        <w:rPr>
          <w:sz w:val="20"/>
          <w:szCs w:val="20"/>
          <w:color w:val="auto"/>
        </w:rPr>
      </w:pPr>
      <w:r>
        <w:rPr>
          <w:rFonts w:ascii="Times New Roman" w:cs="Times New Roman" w:eastAsia="Times New Roman" w:hAnsi="Times New Roman"/>
          <w:sz w:val="14"/>
          <w:szCs w:val="14"/>
          <w:color w:val="auto"/>
        </w:rPr>
        <w:t xml:space="preserve">Section 8.12 </w:t>
      </w:r>
      <w:r>
        <w:rPr>
          <w:rFonts w:ascii="Times New Roman" w:cs="Times New Roman" w:eastAsia="Times New Roman" w:hAnsi="Times New Roman"/>
          <w:sz w:val="14"/>
          <w:szCs w:val="14"/>
          <w:u w:val="single" w:color="auto"/>
          <w:color w:val="auto"/>
        </w:rPr>
        <w:t>Enforcement</w:t>
      </w:r>
      <w:r>
        <w:rPr>
          <w:rFonts w:ascii="Times New Roman" w:cs="Times New Roman" w:eastAsia="Times New Roman" w:hAnsi="Times New Roman"/>
          <w:sz w:val="14"/>
          <w:szCs w:val="14"/>
          <w:color w:val="auto"/>
        </w:rPr>
        <w:t>. The parties agree that irreparable damage would occur in the event that any of the provisions of this Agreement were not performed in 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in the Texas Business Court, Division IB in the State of Texas located in Dallas County, Texas; provided, that if such court lacks subject matter jurisdiction, then in any federal court located in the State of Texas in Dallas County (the United States District Court for the Northern District of Texas, Dallas Division) or any other Texas state courts located in Dallas County, Texas,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w:t>
      </w:r>
    </w:p>
    <w:p>
      <w:pPr>
        <w:spacing w:after="0" w:line="172"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4"/>
          <w:szCs w:val="14"/>
          <w:color w:val="auto"/>
        </w:rPr>
        <w:t xml:space="preserve">Section 8.13 </w:t>
      </w:r>
      <w:r>
        <w:rPr>
          <w:rFonts w:ascii="Times New Roman" w:cs="Times New Roman" w:eastAsia="Times New Roman" w:hAnsi="Times New Roman"/>
          <w:sz w:val="14"/>
          <w:szCs w:val="14"/>
          <w:u w:val="single" w:color="auto"/>
          <w:color w:val="auto"/>
        </w:rPr>
        <w:t>Currency</w:t>
      </w:r>
      <w:r>
        <w:rPr>
          <w:rFonts w:ascii="Times New Roman" w:cs="Times New Roman" w:eastAsia="Times New Roman" w:hAnsi="Times New Roman"/>
          <w:sz w:val="14"/>
          <w:szCs w:val="14"/>
          <w:color w:val="auto"/>
        </w:rPr>
        <w:t>. All references to “dollars” or “$” or “US$” in this Agreement or any Ancillary Agreement refer to United States dollars, which is the currency used for all purposes in this Agreement and any Ancillary Agreement.</w:t>
      </w:r>
    </w:p>
    <w:p>
      <w:pPr>
        <w:spacing w:after="0" w:line="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8.14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 xml:space="preserve">Section 8.15 </w:t>
      </w:r>
      <w:r>
        <w:rPr>
          <w:rFonts w:ascii="Times New Roman" w:cs="Times New Roman" w:eastAsia="Times New Roman" w:hAnsi="Times New Roman"/>
          <w:sz w:val="14"/>
          <w:szCs w:val="14"/>
          <w:u w:val="single" w:color="auto"/>
          <w:color w:val="auto"/>
        </w:rPr>
        <w:t>Waiver of Jury Trial</w:t>
      </w:r>
      <w:r>
        <w:rPr>
          <w:rFonts w:ascii="Times New Roman" w:cs="Times New Roman" w:eastAsia="Times New Roman" w:hAnsi="Times New Roman"/>
          <w:sz w:val="14"/>
          <w:szCs w:val="14"/>
          <w:color w:val="auto"/>
        </w:rPr>
        <w:t>. EACH OF THE PARTIES TO THIS AGREEMENT HEREBY IRREVOCABLY WAIVES ALL RIGHT TO A TRIAL BY JURY IN ANY ACTION, PROCEEDING OR COUNTERCLAIM ARISING OUT OF OR RELATING TO THIS AGREEMENT OR THE TRANSACTIONS CONTEMPLATED HEREBY.</w:t>
      </w: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 xml:space="preserve">Section 8.16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two or more counterparts, all of which shall be considered one and the same instrument and shall become effective when one or more counterparts have been signed by each of the parties and delivered to the other party.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1300"/>
          </w:cols>
          <w:pgMar w:left="300" w:top="290" w:right="2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 xml:space="preserve">Section 8.17 </w:t>
      </w:r>
      <w:r>
        <w:rPr>
          <w:rFonts w:ascii="Times New Roman" w:cs="Times New Roman" w:eastAsia="Times New Roman" w:hAnsi="Times New Roman"/>
          <w:sz w:val="14"/>
          <w:szCs w:val="14"/>
          <w:u w:val="single" w:color="auto"/>
          <w:color w:val="auto"/>
        </w:rPr>
        <w:t>Facsimile or .pdf Signature.</w:t>
      </w:r>
      <w:r>
        <w:rPr>
          <w:rFonts w:ascii="Times New Roman" w:cs="Times New Roman" w:eastAsia="Times New Roman" w:hAnsi="Times New Roman"/>
          <w:sz w:val="14"/>
          <w:szCs w:val="14"/>
          <w:color w:val="auto"/>
        </w:rPr>
        <w:t xml:space="preserve"> This Agreement may be executed by facsimile or .pdf signature electronic transmission (including in portable document format (PDF) and/or DocuSign) and a facsimile or .pdf signature electronic transmission (including in portable document format (PDF) and/or DocuSign) shall constitute an original for all purposes.</w:t>
      </w: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8.18</w:t>
      </w:r>
      <w:r>
        <w:rPr>
          <w:sz w:val="20"/>
          <w:szCs w:val="20"/>
          <w:color w:val="auto"/>
        </w:rPr>
        <w:tab/>
      </w:r>
      <w:r>
        <w:rPr>
          <w:rFonts w:ascii="Times New Roman" w:cs="Times New Roman" w:eastAsia="Times New Roman" w:hAnsi="Times New Roman"/>
          <w:sz w:val="14"/>
          <w:szCs w:val="14"/>
          <w:u w:val="single" w:color="auto"/>
          <w:color w:val="auto"/>
        </w:rPr>
        <w:t xml:space="preserve">Time of Essence. </w:t>
      </w:r>
      <w:r>
        <w:rPr>
          <w:rFonts w:ascii="Times New Roman" w:cs="Times New Roman" w:eastAsia="Times New Roman" w:hAnsi="Times New Roman"/>
          <w:sz w:val="14"/>
          <w:szCs w:val="14"/>
          <w:color w:val="auto"/>
        </w:rPr>
        <w:t>Time is of the essence with regard to all dates and time periods set forth or referred to in this Agreement.</w:t>
      </w:r>
    </w:p>
    <w:p>
      <w:pPr>
        <w:spacing w:after="0" w:line="3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 xml:space="preserve">Section 8.19 </w:t>
      </w:r>
      <w:r>
        <w:rPr>
          <w:rFonts w:ascii="Times New Roman" w:cs="Times New Roman" w:eastAsia="Times New Roman" w:hAnsi="Times New Roman"/>
          <w:sz w:val="14"/>
          <w:szCs w:val="14"/>
          <w:u w:val="single" w:color="auto"/>
          <w:color w:val="auto"/>
        </w:rPr>
        <w:t>No Presumption Against Drafting Party</w:t>
      </w:r>
      <w:r>
        <w:rPr>
          <w:rFonts w:ascii="Times New Roman" w:cs="Times New Roman" w:eastAsia="Times New Roman" w:hAnsi="Times New Roman"/>
          <w:sz w:val="14"/>
          <w:szCs w:val="14"/>
          <w:color w:val="auto"/>
        </w:rPr>
        <w:t>. The Buyer and each of the Sellers acknowledges that each party to this Agreement has been represented by legal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4"/>
          <w:szCs w:val="14"/>
          <w:color w:val="auto"/>
        </w:rPr>
        <w:t xml:space="preserve">Section 8.20 </w:t>
      </w:r>
      <w:r>
        <w:rPr>
          <w:rFonts w:ascii="Times New Roman" w:cs="Times New Roman" w:eastAsia="Times New Roman" w:hAnsi="Times New Roman"/>
          <w:sz w:val="14"/>
          <w:szCs w:val="14"/>
          <w:u w:val="single" w:color="auto"/>
          <w:color w:val="auto"/>
        </w:rPr>
        <w:t>Waiver and Consent</w:t>
      </w:r>
      <w:r>
        <w:rPr>
          <w:rFonts w:ascii="Times New Roman" w:cs="Times New Roman" w:eastAsia="Times New Roman" w:hAnsi="Times New Roman"/>
          <w:sz w:val="14"/>
          <w:szCs w:val="14"/>
          <w:color w:val="auto"/>
        </w:rPr>
        <w:t>. Each of the Sellers, the Sellers Representative (in its capacity as a party to the Company LLC Agreement and the Manager under the Management Holdco LLC Agreement), Management Holdco and the Company hereby waives compliance by any such Persons with Section 8.2 and 8.3 of the Company LLC Agreement and any and all other restrictions on transfer, actions and requirements pursuant to the Company LLC Agreement and the Management Holdco LLC Agreement to effect and consummate, and hereby consents to and approves, (i) the purchase and redemption of the Management Class A Units and Management Incentive Units (each as defined in the Management Holdco LLC Agreement) by Management Holdco pursuant to the Redemption Agreements dated the date hereof between Management Holdco and each holder of Management Class A Units and Management Incentive Units and (ii) the transfer of the underlying Class A Units and Class C Units to Buyer hereunder.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1300"/>
          </w:cols>
          <w:pgMar w:left="300" w:top="290" w:right="29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the parties have caused this Agreement to be executed as of the date first written above by their respective officers thereunto duly authorized.</w:t>
      </w:r>
    </w:p>
    <w:p>
      <w:pPr>
        <w:spacing w:after="0" w:line="23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BUYER</w:t>
      </w:r>
    </w:p>
    <w:p>
      <w:pPr>
        <w:spacing w:after="0" w:line="3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NATURAL GAS SERVICES GROUP, INC.</w:t>
      </w:r>
    </w:p>
    <w:p>
      <w:pPr>
        <w:spacing w:after="0" w:line="3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By:_________________</w:t>
      </w:r>
    </w:p>
    <w:p>
      <w:pPr>
        <w:spacing w:after="0" w:line="3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Name:</w:t>
      </w:r>
    </w:p>
    <w:p>
      <w:pPr>
        <w:spacing w:after="0" w:line="3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880"/>
          </w:cols>
          <w:pgMar w:left="720" w:top="290" w:right="29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COMPANY</w:t>
      </w:r>
    </w:p>
    <w:p>
      <w:pPr>
        <w:spacing w:after="0" w:line="3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FLATROCK COMPRESSION HOLDINGS LLC</w:t>
      </w:r>
    </w:p>
    <w:p>
      <w:pPr>
        <w:spacing w:after="0" w:line="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By:_________________</w:t>
      </w:r>
    </w:p>
    <w:p>
      <w:pPr>
        <w:spacing w:after="0" w:line="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Name: B.J. Ellis, Jr.</w:t>
      </w:r>
    </w:p>
    <w:p>
      <w:pPr>
        <w:spacing w:after="0" w:line="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Title: President</w:t>
      </w:r>
    </w:p>
    <w:p>
      <w:pPr>
        <w:spacing w:after="0" w:line="23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SELLERS</w:t>
      </w:r>
    </w:p>
    <w:p>
      <w:pPr>
        <w:spacing w:after="0" w:line="2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[SELLERS SIGNATURE BLOCKS TO BE POPULATED]</w:t>
      </w:r>
    </w:p>
    <w:p>
      <w:pPr>
        <w:spacing w:after="0" w:line="23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SELLERS REPRESENTATIVE</w:t>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MULE DEER SKY LLC</w:t>
      </w:r>
    </w:p>
    <w:p>
      <w:pPr>
        <w:spacing w:after="0" w:line="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By:_________________</w:t>
      </w:r>
    </w:p>
    <w:p>
      <w:pPr>
        <w:spacing w:after="0" w:line="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Name: Steve Dutton</w:t>
      </w:r>
    </w:p>
    <w:p>
      <w:pPr>
        <w:spacing w:after="0" w:line="3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Title: President</w:t>
      </w:r>
    </w:p>
    <w:p>
      <w:pPr>
        <w:spacing w:after="0" w:line="200" w:lineRule="exact"/>
        <w:rPr>
          <w:sz w:val="20"/>
          <w:szCs w:val="20"/>
          <w:color w:val="auto"/>
        </w:rPr>
      </w:pPr>
    </w:p>
    <w:p>
      <w:pPr>
        <w:spacing w:after="0" w:line="37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60"/>
          </w:cols>
          <w:pgMar w:left="1440" w:top="290" w:right="29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FIFTH AMENDMENT TO AMENDED AND RESTATED CREDIT AGREEMENT</w:t>
      </w:r>
    </w:p>
    <w:p>
      <w:pPr>
        <w:spacing w:after="0" w:line="314" w:lineRule="exact"/>
        <w:rPr>
          <w:sz w:val="20"/>
          <w:szCs w:val="20"/>
          <w:color w:val="auto"/>
        </w:rPr>
      </w:pPr>
    </w:p>
    <w:p>
      <w:pPr>
        <w:jc w:val="both"/>
        <w:ind w:right="20" w:firstLine="432"/>
        <w:spacing w:after="0" w:line="284" w:lineRule="auto"/>
        <w:rPr>
          <w:sz w:val="20"/>
          <w:szCs w:val="20"/>
          <w:color w:val="auto"/>
        </w:rPr>
      </w:pPr>
      <w:r>
        <w:rPr>
          <w:rFonts w:ascii="Times New Roman" w:cs="Times New Roman" w:eastAsia="Times New Roman" w:hAnsi="Times New Roman"/>
          <w:sz w:val="14"/>
          <w:szCs w:val="14"/>
          <w:color w:val="auto"/>
        </w:rPr>
        <w:t>This FIFTH AMENDMENT TO AMENDED AND RESTATED CREDIT AGREEMENT (this “</w:t>
      </w:r>
      <w:r>
        <w:rPr>
          <w:rFonts w:ascii="Times New Roman" w:cs="Times New Roman" w:eastAsia="Times New Roman" w:hAnsi="Times New Roman"/>
          <w:sz w:val="14"/>
          <w:szCs w:val="14"/>
          <w:b w:val="1"/>
          <w:bCs w:val="1"/>
          <w:i w:val="1"/>
          <w:iCs w:val="1"/>
          <w:color w:val="auto"/>
        </w:rPr>
        <w:t>Fifth Amendment</w:t>
      </w:r>
      <w:r>
        <w:rPr>
          <w:rFonts w:ascii="Times New Roman" w:cs="Times New Roman" w:eastAsia="Times New Roman" w:hAnsi="Times New Roman"/>
          <w:sz w:val="14"/>
          <w:szCs w:val="14"/>
          <w:color w:val="auto"/>
        </w:rPr>
        <w:t>”) is dated effective as of June 12, 2026 (the “</w:t>
      </w:r>
      <w:r>
        <w:rPr>
          <w:rFonts w:ascii="Times New Roman" w:cs="Times New Roman" w:eastAsia="Times New Roman" w:hAnsi="Times New Roman"/>
          <w:sz w:val="14"/>
          <w:szCs w:val="14"/>
          <w:b w:val="1"/>
          <w:bCs w:val="1"/>
          <w:i w:val="1"/>
          <w:iCs w:val="1"/>
          <w:color w:val="auto"/>
        </w:rPr>
        <w:t>Fifth Amendment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Effective Date</w:t>
      </w:r>
      <w:r>
        <w:rPr>
          <w:rFonts w:ascii="Times New Roman" w:cs="Times New Roman" w:eastAsia="Times New Roman" w:hAnsi="Times New Roman"/>
          <w:sz w:val="14"/>
          <w:szCs w:val="14"/>
          <w:color w:val="auto"/>
        </w:rPr>
        <w:t>”), by and among NATURAL GAS SERVICES GROUP, INC., a Colorado corporation (“</w:t>
      </w:r>
      <w:r>
        <w:rPr>
          <w:rFonts w:ascii="Times New Roman" w:cs="Times New Roman" w:eastAsia="Times New Roman" w:hAnsi="Times New Roman"/>
          <w:sz w:val="14"/>
          <w:szCs w:val="14"/>
          <w:b w:val="1"/>
          <w:bCs w:val="1"/>
          <w:i w:val="1"/>
          <w:iCs w:val="1"/>
          <w:color w:val="auto"/>
        </w:rPr>
        <w:t>Holdings</w:t>
      </w:r>
      <w:r>
        <w:rPr>
          <w:rFonts w:ascii="Times New Roman" w:cs="Times New Roman" w:eastAsia="Times New Roman" w:hAnsi="Times New Roman"/>
          <w:sz w:val="14"/>
          <w:szCs w:val="14"/>
          <w:color w:val="auto"/>
        </w:rPr>
        <w:t>”), the other Loan Parties party hereto, Texas Capital Bank, in its capacity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Administrative Agent (in such capacity, the “</w:t>
      </w:r>
      <w:r>
        <w:rPr>
          <w:rFonts w:ascii="Times New Roman" w:cs="Times New Roman" w:eastAsia="Times New Roman" w:hAnsi="Times New Roman"/>
          <w:sz w:val="14"/>
          <w:szCs w:val="14"/>
          <w:b w:val="1"/>
          <w:bCs w:val="1"/>
          <w:i w:val="1"/>
          <w:iCs w:val="1"/>
          <w:color w:val="auto"/>
        </w:rPr>
        <w:t>Administrative Agent</w:t>
      </w:r>
      <w:r>
        <w:rPr>
          <w:rFonts w:ascii="Times New Roman" w:cs="Times New Roman" w:eastAsia="Times New Roman" w:hAnsi="Times New Roman"/>
          <w:sz w:val="14"/>
          <w:szCs w:val="14"/>
          <w:color w:val="auto"/>
        </w:rPr>
        <w:t>”), Swing Line Lender and L/C Issuer, and the Lenders (including the Increasing Lenders (as defined below)) party hereto.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RECITALS:</w:t>
      </w:r>
    </w:p>
    <w:p>
      <w:pPr>
        <w:spacing w:after="0" w:line="82" w:lineRule="exact"/>
        <w:rPr>
          <w:sz w:val="20"/>
          <w:szCs w:val="20"/>
          <w:color w:val="auto"/>
        </w:rPr>
      </w:pPr>
    </w:p>
    <w:p>
      <w:pPr>
        <w:jc w:val="both"/>
        <w:ind w:firstLine="432"/>
        <w:spacing w:after="0" w:line="277" w:lineRule="auto"/>
        <w:rPr>
          <w:sz w:val="20"/>
          <w:szCs w:val="20"/>
          <w:color w:val="auto"/>
        </w:rPr>
      </w:pPr>
      <w:r>
        <w:rPr>
          <w:rFonts w:ascii="Times New Roman" w:cs="Times New Roman" w:eastAsia="Times New Roman" w:hAnsi="Times New Roman"/>
          <w:sz w:val="14"/>
          <w:szCs w:val="14"/>
          <w:color w:val="auto"/>
        </w:rPr>
        <w:t>WHEREAS, the Loan Parties are party to that certain Amended and Restated Credit Agreement dated as of February 28, 2023 (as amended, restated, amended and restated, supplemented or otherwise modified prior to the date hereof, the “</w:t>
      </w:r>
      <w:r>
        <w:rPr>
          <w:rFonts w:ascii="Times New Roman" w:cs="Times New Roman" w:eastAsia="Times New Roman" w:hAnsi="Times New Roman"/>
          <w:sz w:val="14"/>
          <w:szCs w:val="14"/>
          <w:b w:val="1"/>
          <w:bCs w:val="1"/>
          <w:i w:val="1"/>
          <w:iCs w:val="1"/>
          <w:color w:val="auto"/>
        </w:rPr>
        <w:t>Credit Agreement</w:t>
      </w:r>
      <w:r>
        <w:rPr>
          <w:rFonts w:ascii="Times New Roman" w:cs="Times New Roman" w:eastAsia="Times New Roman" w:hAnsi="Times New Roman"/>
          <w:sz w:val="14"/>
          <w:szCs w:val="14"/>
          <w:color w:val="auto"/>
        </w:rPr>
        <w:t>”), by and among Holdings, the other Loan Parties from time to time party thereto, the Lenders from time to time party thereto and the Administrative Agent. Capitalized terms used but not defined herein have the meaning set forth in the Credit Agreement, as amended by this Fifth Amendment (the “</w:t>
      </w:r>
      <w:r>
        <w:rPr>
          <w:rFonts w:ascii="Times New Roman" w:cs="Times New Roman" w:eastAsia="Times New Roman" w:hAnsi="Times New Roman"/>
          <w:sz w:val="14"/>
          <w:szCs w:val="14"/>
          <w:b w:val="1"/>
          <w:bCs w:val="1"/>
          <w:i w:val="1"/>
          <w:iCs w:val="1"/>
          <w:color w:val="auto"/>
        </w:rPr>
        <w:t>Amended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Credit Agreement</w:t>
      </w:r>
      <w:r>
        <w:rPr>
          <w:rFonts w:ascii="Times New Roman" w:cs="Times New Roman" w:eastAsia="Times New Roman" w:hAnsi="Times New Roman"/>
          <w:sz w:val="14"/>
          <w:szCs w:val="14"/>
          <w:color w:val="auto"/>
        </w:rPr>
        <w:t>”).</w:t>
      </w:r>
    </w:p>
    <w:p>
      <w:pPr>
        <w:spacing w:after="0" w:line="208"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WHEREAS, the parties hereto desire to enter into this Fifth Amendment to, among other things, (a) evidence the increase by the Increasing Lenders in the aggregate Commitments of the Lenders from $400,000,000 to $500,000,000 and (b) amend the Credit Agreement, in each case as set forth herein.</w:t>
      </w:r>
    </w:p>
    <w:p>
      <w:pPr>
        <w:spacing w:after="0" w:line="14" w:lineRule="exact"/>
        <w:rPr>
          <w:sz w:val="20"/>
          <w:szCs w:val="20"/>
          <w:color w:val="auto"/>
        </w:rPr>
      </w:pPr>
    </w:p>
    <w:p>
      <w:pPr>
        <w:jc w:val="both"/>
        <w:ind w:firstLine="432"/>
        <w:spacing w:after="0" w:line="301" w:lineRule="auto"/>
        <w:rPr>
          <w:sz w:val="20"/>
          <w:szCs w:val="20"/>
          <w:color w:val="auto"/>
        </w:rPr>
      </w:pPr>
      <w:r>
        <w:rPr>
          <w:rFonts w:ascii="Times New Roman" w:cs="Times New Roman" w:eastAsia="Times New Roman" w:hAnsi="Times New Roman"/>
          <w:sz w:val="14"/>
          <w:szCs w:val="14"/>
          <w:color w:val="auto"/>
        </w:rPr>
        <w:t>WHEREAS, Holdings has requested that Regions Bank (the “</w:t>
      </w:r>
      <w:r>
        <w:rPr>
          <w:rFonts w:ascii="Times New Roman" w:cs="Times New Roman" w:eastAsia="Times New Roman" w:hAnsi="Times New Roman"/>
          <w:sz w:val="14"/>
          <w:szCs w:val="14"/>
          <w:b w:val="1"/>
          <w:bCs w:val="1"/>
          <w:i w:val="1"/>
          <w:iCs w:val="1"/>
          <w:color w:val="auto"/>
        </w:rPr>
        <w:t>New Lender</w:t>
      </w:r>
      <w:r>
        <w:rPr>
          <w:rFonts w:ascii="Times New Roman" w:cs="Times New Roman" w:eastAsia="Times New Roman" w:hAnsi="Times New Roman"/>
          <w:sz w:val="14"/>
          <w:szCs w:val="14"/>
          <w:color w:val="auto"/>
        </w:rPr>
        <w:t>”) become a Lender under the Amended Credit Agreement with a Commitment as of the Fifth Amendment Effective Date in the amount shown opposite the New Lender’s name on Schedule 2.1 to the Amended Credit Agreement.</w:t>
      </w:r>
    </w:p>
    <w:p>
      <w:pPr>
        <w:spacing w:after="0" w:line="1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WHEREAS, Holdings has requested that each of Texas Capital Bank, The Huntington National Bank, Flagstar Bank, N.A., Zions Bancorporation, N.A. dba Amegy Bank, First-Citizens Bank &amp; Trust Company and Bank of Hope (each such Lender, together with the New Lender, an “</w:t>
      </w:r>
      <w:r>
        <w:rPr>
          <w:rFonts w:ascii="Times New Roman" w:cs="Times New Roman" w:eastAsia="Times New Roman" w:hAnsi="Times New Roman"/>
          <w:sz w:val="14"/>
          <w:szCs w:val="14"/>
          <w:b w:val="1"/>
          <w:bCs w:val="1"/>
          <w:i w:val="1"/>
          <w:iCs w:val="1"/>
          <w:color w:val="auto"/>
        </w:rPr>
        <w:t>Increasing Lender</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i w:val="1"/>
          <w:iCs w:val="1"/>
          <w:color w:val="auto"/>
        </w:rPr>
        <w:t>Increasing Lenders</w:t>
      </w:r>
      <w:r>
        <w:rPr>
          <w:rFonts w:ascii="Times New Roman" w:cs="Times New Roman" w:eastAsia="Times New Roman" w:hAnsi="Times New Roman"/>
          <w:sz w:val="14"/>
          <w:szCs w:val="14"/>
          <w:color w:val="auto"/>
        </w:rPr>
        <w:t>”) agree to increase its Commitment as of the Fifth Amendment Effective Date resulting in the Commitment amount shown opposite such Lender’s name on Schedule 2.1 to the Amended Credit Agreement.</w:t>
      </w:r>
    </w:p>
    <w:p>
      <w:pPr>
        <w:spacing w:after="0" w:line="27"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WHEREAS, in connection with entry into this Fifth Amendment, Holdings is contemplating entry into a purchase and sale agreement, merger agreement, securities purchase agreement or other similar agreement (the “</w:t>
      </w:r>
      <w:r>
        <w:rPr>
          <w:rFonts w:ascii="Times New Roman" w:cs="Times New Roman" w:eastAsia="Times New Roman" w:hAnsi="Times New Roman"/>
          <w:sz w:val="14"/>
          <w:szCs w:val="14"/>
          <w:b w:val="1"/>
          <w:bCs w:val="1"/>
          <w:i w:val="1"/>
          <w:iCs w:val="1"/>
          <w:color w:val="auto"/>
        </w:rPr>
        <w:t>Blanco SPA</w:t>
      </w:r>
      <w:r>
        <w:rPr>
          <w:rFonts w:ascii="Times New Roman" w:cs="Times New Roman" w:eastAsia="Times New Roman" w:hAnsi="Times New Roman"/>
          <w:sz w:val="14"/>
          <w:szCs w:val="14"/>
          <w:color w:val="auto"/>
        </w:rPr>
        <w:t>”) to acquire, directly or indirectly, 100% of the Equity Interests of a target entity disclosed to the Administrative Agent and the Lenders as “Project Blanco” (“</w:t>
      </w:r>
      <w:r>
        <w:rPr>
          <w:rFonts w:ascii="Times New Roman" w:cs="Times New Roman" w:eastAsia="Times New Roman" w:hAnsi="Times New Roman"/>
          <w:sz w:val="14"/>
          <w:szCs w:val="14"/>
          <w:b w:val="1"/>
          <w:bCs w:val="1"/>
          <w:i w:val="1"/>
          <w:iCs w:val="1"/>
          <w:color w:val="auto"/>
        </w:rPr>
        <w:t>Blanco</w:t>
      </w:r>
      <w:r>
        <w:rPr>
          <w:rFonts w:ascii="Times New Roman" w:cs="Times New Roman" w:eastAsia="Times New Roman" w:hAnsi="Times New Roman"/>
          <w:sz w:val="14"/>
          <w:szCs w:val="14"/>
          <w:color w:val="auto"/>
        </w:rPr>
        <w:t>”) and its wholly-owned subsidiaries (such acquisition pursuant to the terms of the Blanco SPA, the “</w:t>
      </w:r>
      <w:r>
        <w:rPr>
          <w:rFonts w:ascii="Times New Roman" w:cs="Times New Roman" w:eastAsia="Times New Roman" w:hAnsi="Times New Roman"/>
          <w:sz w:val="14"/>
          <w:szCs w:val="14"/>
          <w:b w:val="1"/>
          <w:bCs w:val="1"/>
          <w:i w:val="1"/>
          <w:iCs w:val="1"/>
          <w:color w:val="auto"/>
        </w:rPr>
        <w:t>Blanco Acquisition</w:t>
      </w:r>
      <w:r>
        <w:rPr>
          <w:rFonts w:ascii="Times New Roman" w:cs="Times New Roman" w:eastAsia="Times New Roman" w:hAnsi="Times New Roman"/>
          <w:sz w:val="14"/>
          <w:szCs w:val="14"/>
          <w:color w:val="auto"/>
        </w:rPr>
        <w:t>”).</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WHEREAS, subject to and upon the terms and conditions set forth herein, the Administrative Agent and the Lenders party hereto have agreed to Holdings’ requests as set forth herein.</w:t>
      </w:r>
    </w:p>
    <w:p>
      <w:pPr>
        <w:spacing w:after="0" w:line="8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NOW THEREFORE, in consideration of the mutual agreements herein contained and other good and valuable consideration, the receipt and sufficiency of which are hereby acknowledged, the parties hereto agree as follows:</w:t>
      </w:r>
    </w:p>
    <w:p>
      <w:pPr>
        <w:spacing w:after="0" w:line="16" w:lineRule="exact"/>
        <w:rPr>
          <w:sz w:val="20"/>
          <w:szCs w:val="20"/>
          <w:color w:val="auto"/>
        </w:rPr>
      </w:pPr>
    </w:p>
    <w:p>
      <w:pPr>
        <w:jc w:val="both"/>
        <w:ind w:firstLine="432"/>
        <w:spacing w:after="0" w:line="297" w:lineRule="auto"/>
        <w:rPr>
          <w:sz w:val="20"/>
          <w:szCs w:val="20"/>
          <w:color w:val="auto"/>
        </w:rPr>
      </w:pP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Amendments to the Credit Agreement</w:t>
      </w:r>
      <w:r>
        <w:rPr>
          <w:rFonts w:ascii="Times New Roman" w:cs="Times New Roman" w:eastAsia="Times New Roman" w:hAnsi="Times New Roman"/>
          <w:sz w:val="14"/>
          <w:szCs w:val="14"/>
          <w:color w:val="auto"/>
        </w:rPr>
        <w:t xml:space="preserve">. In reliance upon the representations, warranties, covenants and conditions contained in this Fifth Amendment, and subject to the terms, and satisfaction of the conditions precedent set forth in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hereof, the Credit Agreement is hereby amended as of the Fifth Amendment Effective Date in the manner provided in this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300"/>
          </w:cols>
          <w:pgMar w:left="300" w:top="287" w:right="29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46"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Amended Credit Agreement</w:t>
      </w:r>
      <w:r>
        <w:rPr>
          <w:rFonts w:ascii="Times New Roman" w:cs="Times New Roman" w:eastAsia="Times New Roman" w:hAnsi="Times New Roman"/>
          <w:sz w:val="14"/>
          <w:szCs w:val="14"/>
          <w:color w:val="auto"/>
        </w:rPr>
        <w:t xml:space="preserve">. The Credit Agreement (other than the signature pages, Annexes, Exhibits and Schedules thereto, except as set forth in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set forth below) is hereby amended (a) to delete the red or green stricken text (indicated textually in the same manner as the following examples: </w:t>
      </w:r>
      <w:r>
        <w:rPr>
          <w:rFonts w:ascii="Times New Roman" w:cs="Times New Roman" w:eastAsia="Times New Roman" w:hAnsi="Times New Roman"/>
          <w:sz w:val="14"/>
          <w:szCs w:val="14"/>
          <w:color w:val="FF0000"/>
          <w:strike w:val="1"/>
        </w:rPr>
        <w:t>stricken text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color w:val="00B150"/>
          <w:strike w:val="1"/>
        </w:rPr>
        <w:t>stricken text</w:t>
      </w:r>
      <w:r>
        <w:rPr>
          <w:rFonts w:ascii="Times New Roman" w:cs="Times New Roman" w:eastAsia="Times New Roman" w:hAnsi="Times New Roman"/>
          <w:sz w:val="14"/>
          <w:szCs w:val="14"/>
          <w:color w:val="auto"/>
        </w:rPr>
        <w:t xml:space="preserve">) and (b) to add the blue or green double-underlined text (indicated textually in the same manner as the following examples: </w:t>
      </w:r>
      <w:r>
        <w:rPr>
          <w:rFonts w:ascii="Times New Roman" w:cs="Times New Roman" w:eastAsia="Times New Roman" w:hAnsi="Times New Roman"/>
          <w:sz w:val="14"/>
          <w:szCs w:val="14"/>
          <w:u w:val="single" w:color="auto"/>
          <w:color w:val="0000FF"/>
        </w:rPr>
        <w:t>double-underlined text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B150"/>
        </w:rPr>
        <w:t>double-underlined text</w:t>
      </w:r>
      <w:r>
        <w:rPr>
          <w:rFonts w:ascii="Times New Roman" w:cs="Times New Roman" w:eastAsia="Times New Roman" w:hAnsi="Times New Roman"/>
          <w:sz w:val="14"/>
          <w:szCs w:val="14"/>
          <w:color w:val="auto"/>
        </w:rPr>
        <w:t xml:space="preserve">), in each case, as set forth in the marked copy of the Credit Agreement attached as </w:t>
      </w:r>
      <w:r>
        <w:rPr>
          <w:rFonts w:ascii="Times New Roman" w:cs="Times New Roman" w:eastAsia="Times New Roman" w:hAnsi="Times New Roman"/>
          <w:sz w:val="14"/>
          <w:szCs w:val="14"/>
          <w:u w:val="single" w:color="auto"/>
          <w:color w:val="auto"/>
        </w:rPr>
        <w:t>Annex A</w:t>
      </w:r>
      <w:r>
        <w:rPr>
          <w:rFonts w:ascii="Times New Roman" w:cs="Times New Roman" w:eastAsia="Times New Roman" w:hAnsi="Times New Roman"/>
          <w:sz w:val="14"/>
          <w:szCs w:val="14"/>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4263390</wp:posOffset>
            </wp:positionH>
            <wp:positionV relativeFrom="paragraph">
              <wp:posOffset>-147955</wp:posOffset>
            </wp:positionV>
            <wp:extent cx="2286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15" w:lineRule="exact"/>
        <w:rPr>
          <w:sz w:val="20"/>
          <w:szCs w:val="20"/>
          <w:color w:val="auto"/>
        </w:rPr>
      </w:pPr>
    </w:p>
    <w:p>
      <w:pPr>
        <w:jc w:val="both"/>
        <w:ind w:firstLine="864"/>
        <w:spacing w:after="0" w:line="261" w:lineRule="auto"/>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Replacement of Schedule 2.1 to the Credit Agreement</w:t>
      </w:r>
      <w:r>
        <w:rPr>
          <w:rFonts w:ascii="Times New Roman" w:cs="Times New Roman" w:eastAsia="Times New Roman" w:hAnsi="Times New Roman"/>
          <w:sz w:val="14"/>
          <w:szCs w:val="14"/>
          <w:color w:val="auto"/>
        </w:rPr>
        <w:t xml:space="preserve">. Effective as of the Fifth Amendment Effective Date, the parties hereto hereby agree that (a) the aggregate Commitments are hereby increased from $400,000,000 to $500,000,000, (b) such increase by the Increasing Lenders shall be deemed to be in conformity with the requirements set forth in Section 2.10 of the Credit Agreement and (c) Schedule 2.1 attached to the Credit Agreement is hereby replaced in its entirety with </w:t>
      </w:r>
      <w:r>
        <w:rPr>
          <w:rFonts w:ascii="Times New Roman" w:cs="Times New Roman" w:eastAsia="Times New Roman" w:hAnsi="Times New Roman"/>
          <w:sz w:val="14"/>
          <w:szCs w:val="14"/>
          <w:u w:val="single" w:color="auto"/>
          <w:color w:val="auto"/>
        </w:rPr>
        <w:t>Schedule 2.1</w:t>
      </w:r>
      <w:r>
        <w:rPr>
          <w:rFonts w:ascii="Times New Roman" w:cs="Times New Roman" w:eastAsia="Times New Roman" w:hAnsi="Times New Roman"/>
          <w:sz w:val="14"/>
          <w:szCs w:val="14"/>
          <w:color w:val="auto"/>
        </w:rPr>
        <w:t xml:space="preserve"> attached hereto. </w:t>
      </w:r>
      <w:r>
        <w:rPr>
          <w:rFonts w:ascii="Times New Roman" w:cs="Times New Roman" w:eastAsia="Times New Roman" w:hAnsi="Times New Roman"/>
          <w:sz w:val="14"/>
          <w:szCs w:val="14"/>
          <w:u w:val="single" w:color="auto"/>
          <w:color w:val="auto"/>
        </w:rPr>
        <w:t>Schedule 2.1</w:t>
      </w:r>
      <w:r>
        <w:rPr>
          <w:rFonts w:ascii="Times New Roman" w:cs="Times New Roman" w:eastAsia="Times New Roman" w:hAnsi="Times New Roman"/>
          <w:sz w:val="14"/>
          <w:szCs w:val="14"/>
          <w:color w:val="auto"/>
        </w:rPr>
        <w:t xml:space="preserve"> attached hereto shall be deemed to be attached as Schedule 2.1 to the Amended Credit Agreement as of the Fifth Amendment Effective Date. Immediately after giving effect to this Fifth Amendment and any Borrowings made on the Fifth Amendment Effective Date, (a) each Increasing Lender shall advance new Loans which shall be disbursed to the Administrative Agent and used to repay Loans outstanding to each Lender who holds Loans in an aggregate amount greater than its Applicable Percentage (immediately after giving effect to this Fifth Amendment) of all Loans, (b) each Lender’s (including the New Lender’s) participation in each Letter of Credit, if any, shall be automatically adjusted to equal its Applicable Percentage (immediately after giving effect to this Fifth Amendment), (c) such other adjustments shall be made as the Administrative Agent shall reasonably specify so that the Revolving Credit Exposure applicable to each Lender (including the New Lender) equals its Applicable Percentage (immediately after giving effect to this Fifth Amendment) of the aggregate Revolving Credit Exposures of all Lenders, and (d) upon the written request by any applicable Lender, Holdings shall be required to make any break funding payments owing to such Lender under Section 3.5 of the Credit Agreement as a result of the reallocation of Loans and the other adjustments described in this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w:t>
      </w:r>
    </w:p>
    <w:p>
      <w:pPr>
        <w:spacing w:after="0" w:line="218"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b w:val="1"/>
          <w:bCs w:val="1"/>
          <w:u w:val="single" w:color="auto"/>
          <w:color w:val="auto"/>
        </w:rPr>
        <w:t>New Lender</w:t>
      </w:r>
      <w:r>
        <w:rPr>
          <w:rFonts w:ascii="Times New Roman" w:cs="Times New Roman" w:eastAsia="Times New Roman" w:hAnsi="Times New Roman"/>
          <w:sz w:val="14"/>
          <w:szCs w:val="14"/>
          <w:color w:val="auto"/>
        </w:rPr>
        <w:t>. The New Lender hereby joins in, becomes a party to, and agrees to comply with and be bound by the terms and conditions of the Amended Credit Agreement as a Lender thereunder and under each and every other Loan Document to which any Lender is required to be bound by the Amended Credit Agreement, to the same extent as if the New Lender were an original signatory thereto. The New Lender hereby appoints and authorizes the Administrative Agent to take such action as the Administrative Agent on its behalf and to exercise such powers and discretion under the Amended Credit Agreement as are delegated to the Administrative Agent by the terms thereof, together with such powers and discretion as are reasonably incidental thereto. The New Lender represents and warrants that (a) it has full power and authority, and has taken all action necessary, to execute and deliver this Fifth Amendment, to consummate the transactions contemplated hereby and to become a Lender under the Amended Credit Agreement, (b) it has received a copy of the Credit Agreement and has received or has been accorded the opportunity to receive copies of the most recent financial statements delivered pursuant to Section 6.1 thereof, and such other documents and information as it has deemed appropriate to make its own credit analysis and decision to enter into this Fifth Amendment and to become a Lender on the basis of which it has made such analysis and decision independently and without reliance on the Administrative Agent or any other Lender, and (c) from and after the Fifth Amendment Effective Date, it shall be a party to and be bound by the provisions of the Amended Credit Agreement and the other Loan Documents and have the rights and obligations of a Lender thereunder.</w:t>
      </w:r>
    </w:p>
    <w:p>
      <w:pPr>
        <w:spacing w:after="0" w:line="43" w:lineRule="exact"/>
        <w:rPr>
          <w:sz w:val="20"/>
          <w:szCs w:val="20"/>
          <w:color w:val="auto"/>
        </w:rPr>
      </w:pPr>
    </w:p>
    <w:p>
      <w:pPr>
        <w:jc w:val="both"/>
        <w:ind w:right="20" w:firstLine="432"/>
        <w:spacing w:after="0" w:line="298" w:lineRule="auto"/>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b w:val="1"/>
          <w:bCs w:val="1"/>
          <w:u w:val="single" w:color="auto"/>
          <w:color w:val="auto"/>
        </w:rPr>
        <w:t>Permitted Acquisition</w:t>
      </w:r>
      <w:r>
        <w:rPr>
          <w:rFonts w:ascii="Times New Roman" w:cs="Times New Roman" w:eastAsia="Times New Roman" w:hAnsi="Times New Roman"/>
          <w:sz w:val="14"/>
          <w:szCs w:val="14"/>
          <w:color w:val="auto"/>
        </w:rPr>
        <w:t>. Notwithstanding anything to the contrary in the Credit Agreement and the other Loan Documents, the Administrative Agent and the Lenders party hereto hereby agree that the Blanco Acquisition shall constitute a “Permitted Acquisition” under the Amended Credit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300"/>
          </w:cols>
          <w:pgMar w:left="300" w:top="287" w:right="299" w:bottom="1440" w:gutter="0" w:footer="0" w:header="0"/>
        </w:sectPr>
      </w:pPr>
    </w:p>
    <w:bookmarkStart w:id="66" w:name="page67"/>
    <w:bookmarkEnd w:id="66"/>
    <w:p>
      <w:pPr>
        <w:ind w:left="1068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Agreement, subject to satisfaction of all of the requirements set forth in the definition of “Permitted Acquisition” except as expressly modified by </w:t>
      </w:r>
      <w:r>
        <w:rPr>
          <w:rFonts w:ascii="Times New Roman" w:cs="Times New Roman" w:eastAsia="Times New Roman" w:hAnsi="Times New Roman"/>
          <w:sz w:val="14"/>
          <w:szCs w:val="14"/>
          <w:u w:val="single" w:color="auto"/>
          <w:color w:val="auto"/>
        </w:rPr>
        <w:t>Sections 3.1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3.2</w:t>
      </w:r>
      <w:r>
        <w:rPr>
          <w:rFonts w:ascii="Times New Roman" w:cs="Times New Roman" w:eastAsia="Times New Roman" w:hAnsi="Times New Roman"/>
          <w:sz w:val="14"/>
          <w:szCs w:val="14"/>
          <w:color w:val="auto"/>
        </w:rPr>
        <w:t xml:space="preserve"> below.</w:t>
      </w:r>
    </w:p>
    <w:p>
      <w:pPr>
        <w:spacing w:after="0" w:line="8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4"/>
          <w:szCs w:val="14"/>
          <w:color w:val="auto"/>
        </w:rPr>
        <w:t>3.1 Solely with respect to the Blanco Acquisition, the requirements of clause (e) of the definition of “Permitted Acquisition” shall be modified as follows: at or prior to the closing of the Blanco Acquisition (the “</w:t>
      </w:r>
      <w:r>
        <w:rPr>
          <w:rFonts w:ascii="Times New Roman" w:cs="Times New Roman" w:eastAsia="Times New Roman" w:hAnsi="Times New Roman"/>
          <w:sz w:val="14"/>
          <w:szCs w:val="14"/>
          <w:b w:val="1"/>
          <w:bCs w:val="1"/>
          <w:i w:val="1"/>
          <w:iCs w:val="1"/>
          <w:color w:val="auto"/>
        </w:rPr>
        <w:t>Blanco Acquisition Closing Date</w:t>
      </w:r>
      <w:r>
        <w:rPr>
          <w:rFonts w:ascii="Times New Roman" w:cs="Times New Roman" w:eastAsia="Times New Roman" w:hAnsi="Times New Roman"/>
          <w:sz w:val="14"/>
          <w:szCs w:val="14"/>
          <w:color w:val="auto"/>
        </w:rPr>
        <w:t>”), the only actions required to create and perfect a first priority Lien in favor of the Administrative Agent in substantially all assets constituting Collateral to be acquired in the Blanco Acquisition and the Equity Interests in Blanco shall be the maintenance and/or filing of UCC financing statements. All other actions required pursuant to clause (e) of the definition of “Permitted Acquisition” to create and perfect a first priority Lien in favor of the Administrative Agent on the Equity Interests in Blanco and all other assets to be acquired in the Blanco Acquisition (including, for the avoidance of doubt, the execution and delivery of Control Agreements) shall be completed within sixty (60) days after the Blanco Acquisition Closing Date (or such longer period as may be agreed by the Administrative Agent in its sole discretion).</w:t>
      </w:r>
    </w:p>
    <w:p>
      <w:pPr>
        <w:spacing w:after="0" w:line="40"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14"/>
          <w:szCs w:val="14"/>
          <w:color w:val="auto"/>
        </w:rPr>
        <w:t>3.2 Solely with respect to the Blanco Acquisition, the requirements of clauses (e) and (h) of the definition of “Permitted Acquisition” shall be modified as follows: the Persons acquired in the Blanco Acquisition shall not be required to execute a Joinder Agreement, become a Borrower and/or Guarantor, or execute and deliver any Security Documents (or joinders or assumptions thereto) required under Section 6.13(a) of the Credit Agreement until sixty (60) days after the Blanco Acquisition Closing Date (or such longer period as may be agreed by the Administrative Agent in its sole discretion).</w:t>
      </w:r>
    </w:p>
    <w:p>
      <w:pPr>
        <w:spacing w:after="0" w:line="3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Except as set forth in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all other requirements of clauses (e) and (h) of the definition of “Permitted Acquisition” under the Amended Credit Agreement shall remain in full force and effect with respect to the Blanco Acquisition. If, for any reason, the Blanco Acquisition Closing Date fails to occur on or prior to August 31, 2026,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shall be deemed to have been terminated and of no further force and effect as of such date.</w:t>
      </w:r>
    </w:p>
    <w:p>
      <w:pPr>
        <w:spacing w:after="0" w:line="39"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b w:val="1"/>
          <w:bCs w:val="1"/>
          <w:u w:val="single" w:color="auto"/>
          <w:color w:val="auto"/>
        </w:rPr>
        <w:t>Conditions Precedent to Fifth Amendment</w:t>
      </w:r>
      <w:r>
        <w:rPr>
          <w:rFonts w:ascii="Times New Roman" w:cs="Times New Roman" w:eastAsia="Times New Roman" w:hAnsi="Times New Roman"/>
          <w:sz w:val="14"/>
          <w:szCs w:val="14"/>
          <w:color w:val="auto"/>
        </w:rPr>
        <w:t>. This Fifth Amendment will be effective as of the Fifth Amendment Effective Date on the condition that the following conditions precedent will have been satisfied:</w:t>
      </w:r>
    </w:p>
    <w:p>
      <w:pPr>
        <w:spacing w:after="0" w:line="16" w:lineRule="exact"/>
        <w:rPr>
          <w:sz w:val="20"/>
          <w:szCs w:val="20"/>
          <w:color w:val="auto"/>
        </w:rPr>
      </w:pPr>
    </w:p>
    <w:p>
      <w:pPr>
        <w:jc w:val="both"/>
        <w:ind w:right="20" w:firstLine="864"/>
        <w:spacing w:after="0" w:line="295" w:lineRule="auto"/>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The Administrative Agent shall have received counterparts of this Fifth Amendment duly executed by each of the Loan Parties, the Administrative Agent, the Swing Line Lender, the L/C Issuer and the Lenders constituting t1he Required Supermajority Lenders (including the Increasing Lenders) as required hereby and pursuant to the Credit Agreement.</w:t>
      </w:r>
    </w:p>
    <w:p>
      <w:pPr>
        <w:spacing w:after="0" w:line="18" w:lineRule="exact"/>
        <w:rPr>
          <w:sz w:val="20"/>
          <w:szCs w:val="20"/>
          <w:color w:val="auto"/>
        </w:rPr>
      </w:pPr>
    </w:p>
    <w:p>
      <w:pPr>
        <w:jc w:val="both"/>
        <w:ind w:firstLine="864"/>
        <w:spacing w:after="0" w:line="309"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 The Administrative Agent shall have received duly executed Notes (or any amendment and restatement thereof, as the case may be) payable to each Lender requesting a Note (or amendment and restatement thereof, as the case may be) in a principal amount equal to its Commitment dated as of the date hereof.</w:t>
      </w:r>
    </w:p>
    <w:p>
      <w:pPr>
        <w:spacing w:after="0" w:line="8" w:lineRule="exact"/>
        <w:rPr>
          <w:sz w:val="20"/>
          <w:szCs w:val="20"/>
          <w:color w:val="auto"/>
        </w:rPr>
      </w:pPr>
    </w:p>
    <w:p>
      <w:pPr>
        <w:jc w:val="both"/>
        <w:ind w:right="20" w:firstLine="864"/>
        <w:spacing w:after="0" w:line="295" w:lineRule="auto"/>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Legal Opinion</w:t>
      </w:r>
      <w:r>
        <w:rPr>
          <w:rFonts w:ascii="Times New Roman" w:cs="Times New Roman" w:eastAsia="Times New Roman" w:hAnsi="Times New Roman"/>
          <w:sz w:val="14"/>
          <w:szCs w:val="14"/>
          <w:color w:val="auto"/>
        </w:rPr>
        <w:t>. The Administrative Agent shall have received an opinion of Gibson, Dunn &amp; Crutcher LLP, special counsel to the Loan Parties, in form and substance reasonably satisfactory to the Administrative Agent.</w:t>
      </w:r>
    </w:p>
    <w:p>
      <w:pPr>
        <w:spacing w:after="0" w:line="18"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The Administrative Agent shall have received a certificate of a Responsible Officer of each of the Loan Parties setting forth and/or attaching thereto (a) resolutions of the members, board of directors or other appropriate governing body with respect to the authorization of each such Loan Party to execute and deliver this Fifth Amendment and the other Loan Documents to which it is a party and to enter into the transactions contemplated in those documents, (b) the officers of each such Loan Party who are authorized to sign the Loan Documents to which such Loan Party is a party and who will, until replaced by another officer or officers duly authorized for that purpose, act as its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300"/>
          </w:cols>
          <w:pgMar w:left="300" w:top="287" w:right="29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representative for the purposes of signing documents and giving notices and other communications in connection with the Amended Credit Agreement, and the transactions contemplated thereby,</w:t>
      </w:r>
    </w:p>
    <w:p>
      <w:pPr>
        <w:spacing w:after="0" w:line="26" w:lineRule="exact"/>
        <w:rPr>
          <w:sz w:val="20"/>
          <w:szCs w:val="20"/>
          <w:color w:val="auto"/>
        </w:rPr>
      </w:pPr>
    </w:p>
    <w:p>
      <w:pPr>
        <w:ind w:left="8" w:right="20" w:hanging="8"/>
        <w:spacing w:after="0" w:line="271" w:lineRule="auto"/>
        <w:tabs>
          <w:tab w:leader="none" w:pos="204"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specimen signatures of such authorized officers, (d) the Constituent Documents of each such Loan Party, certified as being true and complete, and (e) a certificate of the appropriate government officials of the state of incorporation or organization of such Loan Party as to the existence and standing of such Loan Party dated as of a recent date.</w:t>
      </w:r>
    </w:p>
    <w:p>
      <w:pPr>
        <w:spacing w:after="0" w:line="43" w:lineRule="exact"/>
        <w:rPr>
          <w:sz w:val="20"/>
          <w:szCs w:val="20"/>
          <w:color w:val="auto"/>
        </w:rPr>
      </w:pPr>
    </w:p>
    <w:p>
      <w:pPr>
        <w:jc w:val="both"/>
        <w:ind w:left="8" w:firstLine="864"/>
        <w:spacing w:after="0" w:line="263" w:lineRule="auto"/>
        <w:rPr>
          <w:sz w:val="20"/>
          <w:szCs w:val="20"/>
          <w:color w:val="auto"/>
        </w:rPr>
      </w:pPr>
      <w:r>
        <w:rPr>
          <w:rFonts w:ascii="Times New Roman" w:cs="Times New Roman" w:eastAsia="Times New Roman" w:hAnsi="Times New Roman"/>
          <w:sz w:val="14"/>
          <w:szCs w:val="14"/>
          <w:color w:val="auto"/>
        </w:rPr>
        <w:t xml:space="preserve">4.5 </w:t>
      </w:r>
      <w:r>
        <w:rPr>
          <w:rFonts w:ascii="Times New Roman" w:cs="Times New Roman" w:eastAsia="Times New Roman" w:hAnsi="Times New Roman"/>
          <w:sz w:val="14"/>
          <w:szCs w:val="14"/>
          <w:u w:val="single" w:color="auto"/>
          <w:color w:val="auto"/>
        </w:rPr>
        <w:t>Closing Certificate</w:t>
      </w:r>
      <w:r>
        <w:rPr>
          <w:rFonts w:ascii="Times New Roman" w:cs="Times New Roman" w:eastAsia="Times New Roman" w:hAnsi="Times New Roman"/>
          <w:sz w:val="14"/>
          <w:szCs w:val="14"/>
          <w:color w:val="auto"/>
        </w:rPr>
        <w:t>. The Administrative Agent shall have received a certificate of a Responsible Officer of the Borrower Representative certifying (which statements shall constitute a representation and warranty made by the Loan Parties to the Lenders hereunder on the Fifth Amendment Effective Date) that, as of the Fifth Amendment Effective Date, (a) no Default or Event of Default has occurred and is continuing, (b) all representations and warranties made by any Loan Party contained in the Credit Agreement and the other Loan Documents, in each case as amended hereby, are true and correct in all material respects (without duplication of any materiality qualification applicable thereto) on and as of the date hereof as though made on and as of the date hereof, except to the extent such representations and warranties expressly relate to an earlier date, in which case such representations and warranties were true and correct as of such earlier date, and except for any change of facts expressly permitted under the provisions of the Amended Credit Agreement and the other Loan Documents and (c) Holdings is in pro forma compliance with the financial covenants contained in Section 8.1 and Section 8.2 of the Credit Agreement and attached to such certificate are reasonably detailed calculations demonstrating compliance thereof.</w:t>
      </w:r>
    </w:p>
    <w:p>
      <w:pPr>
        <w:spacing w:after="0" w:line="214" w:lineRule="exact"/>
        <w:rPr>
          <w:sz w:val="20"/>
          <w:szCs w:val="20"/>
          <w:color w:val="auto"/>
        </w:rPr>
      </w:pPr>
    </w:p>
    <w:p>
      <w:pPr>
        <w:jc w:val="both"/>
        <w:ind w:left="8" w:right="20" w:firstLine="864"/>
        <w:spacing w:after="0" w:line="295" w:lineRule="auto"/>
        <w:rPr>
          <w:sz w:val="20"/>
          <w:szCs w:val="20"/>
          <w:color w:val="auto"/>
        </w:rPr>
      </w:pPr>
      <w:r>
        <w:rPr>
          <w:rFonts w:ascii="Times New Roman" w:cs="Times New Roman" w:eastAsia="Times New Roman" w:hAnsi="Times New Roman"/>
          <w:sz w:val="14"/>
          <w:szCs w:val="14"/>
          <w:color w:val="auto"/>
        </w:rPr>
        <w:t xml:space="preserve">4.6 </w:t>
      </w:r>
      <w:r>
        <w:rPr>
          <w:rFonts w:ascii="Times New Roman" w:cs="Times New Roman" w:eastAsia="Times New Roman" w:hAnsi="Times New Roman"/>
          <w:sz w:val="14"/>
          <w:szCs w:val="14"/>
          <w:u w:val="single" w:color="auto"/>
          <w:color w:val="auto"/>
        </w:rPr>
        <w:t>Lien Searches</w:t>
      </w:r>
      <w:r>
        <w:rPr>
          <w:rFonts w:ascii="Times New Roman" w:cs="Times New Roman" w:eastAsia="Times New Roman" w:hAnsi="Times New Roman"/>
          <w:sz w:val="14"/>
          <w:szCs w:val="14"/>
          <w:color w:val="auto"/>
        </w:rPr>
        <w:t>. The results of bring down UCC, tax lien and judgment lien searches showing all financing statements and other documents or instruments on file against each Loan Party in the appropriate filing offices, such search to be as of a recent date reasonably satisfactory to the Administrative Agent.</w:t>
      </w:r>
    </w:p>
    <w:p>
      <w:pPr>
        <w:spacing w:after="0" w:line="18" w:lineRule="exact"/>
        <w:rPr>
          <w:sz w:val="20"/>
          <w:szCs w:val="20"/>
          <w:color w:val="auto"/>
        </w:rPr>
      </w:pPr>
    </w:p>
    <w:p>
      <w:pPr>
        <w:ind w:left="868"/>
        <w:spacing w:after="0"/>
        <w:tabs>
          <w:tab w:leader="none" w:pos="1168" w:val="left"/>
        </w:tabs>
        <w:rPr>
          <w:sz w:val="20"/>
          <w:szCs w:val="20"/>
          <w:color w:val="auto"/>
        </w:rPr>
      </w:pPr>
      <w:r>
        <w:rPr>
          <w:rFonts w:ascii="Times New Roman" w:cs="Times New Roman" w:eastAsia="Times New Roman" w:hAnsi="Times New Roman"/>
          <w:sz w:val="14"/>
          <w:szCs w:val="14"/>
          <w:color w:val="auto"/>
        </w:rPr>
        <w:t>4.7</w:t>
      </w:r>
      <w:r>
        <w:rPr>
          <w:sz w:val="20"/>
          <w:szCs w:val="20"/>
          <w:color w:val="auto"/>
        </w:rPr>
        <w:tab/>
      </w:r>
      <w:r>
        <w:rPr>
          <w:rFonts w:ascii="Times New Roman" w:cs="Times New Roman" w:eastAsia="Times New Roman" w:hAnsi="Times New Roman"/>
          <w:sz w:val="14"/>
          <w:szCs w:val="14"/>
          <w:u w:val="single" w:color="auto"/>
          <w:color w:val="auto"/>
        </w:rPr>
        <w:t>Fees</w:t>
      </w:r>
      <w:r>
        <w:rPr>
          <w:rFonts w:ascii="Times New Roman" w:cs="Times New Roman" w:eastAsia="Times New Roman" w:hAnsi="Times New Roman"/>
          <w:sz w:val="14"/>
          <w:szCs w:val="14"/>
          <w:color w:val="auto"/>
        </w:rPr>
        <w:t>. The Administrative Agent shall have received all fees and other amounts due and payable on or prior to the Fifth Amendment Effective Date.</w:t>
      </w:r>
    </w:p>
    <w:p>
      <w:pPr>
        <w:spacing w:after="0" w:line="91" w:lineRule="exact"/>
        <w:rPr>
          <w:sz w:val="20"/>
          <w:szCs w:val="20"/>
          <w:color w:val="auto"/>
        </w:rPr>
      </w:pPr>
    </w:p>
    <w:p>
      <w:pPr>
        <w:jc w:val="both"/>
        <w:ind w:left="8" w:firstLine="864"/>
        <w:spacing w:after="0" w:line="275" w:lineRule="auto"/>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14"/>
          <w:szCs w:val="14"/>
          <w:u w:val="single" w:color="auto"/>
          <w:color w:val="auto"/>
        </w:rPr>
        <w:t>Expenses</w:t>
      </w:r>
      <w:r>
        <w:rPr>
          <w:rFonts w:ascii="Times New Roman" w:cs="Times New Roman" w:eastAsia="Times New Roman" w:hAnsi="Times New Roman"/>
          <w:sz w:val="14"/>
          <w:szCs w:val="14"/>
          <w:color w:val="auto"/>
        </w:rPr>
        <w:t>. The Administrative Agent shall have received payment or reimbursement of its reasonable and documented out-of-pocket expenses in connection with this Fifth Amendment and any other out-of-pocket expenses of the Administrative Agent required to be paid or reimbursed pursuant to the Credit Agreement, including the reasonable and documented fees, charges and disbursements of counsel for the Administrative Agent.</w:t>
      </w:r>
    </w:p>
    <w:p>
      <w:pPr>
        <w:spacing w:after="0" w:line="32" w:lineRule="exact"/>
        <w:rPr>
          <w:sz w:val="20"/>
          <w:szCs w:val="20"/>
          <w:color w:val="auto"/>
        </w:rPr>
      </w:pPr>
    </w:p>
    <w:p>
      <w:pPr>
        <w:jc w:val="both"/>
        <w:ind w:left="8" w:firstLine="864"/>
        <w:spacing w:after="0" w:line="295" w:lineRule="auto"/>
        <w:rPr>
          <w:sz w:val="20"/>
          <w:szCs w:val="20"/>
          <w:color w:val="auto"/>
        </w:rPr>
      </w:pPr>
      <w:r>
        <w:rPr>
          <w:rFonts w:ascii="Times New Roman" w:cs="Times New Roman" w:eastAsia="Times New Roman" w:hAnsi="Times New Roman"/>
          <w:sz w:val="14"/>
          <w:szCs w:val="14"/>
          <w:color w:val="auto"/>
        </w:rPr>
        <w:t xml:space="preserve">4.9 </w:t>
      </w:r>
      <w:r>
        <w:rPr>
          <w:rFonts w:ascii="Times New Roman" w:cs="Times New Roman" w:eastAsia="Times New Roman" w:hAnsi="Times New Roman"/>
          <w:sz w:val="14"/>
          <w:szCs w:val="14"/>
          <w:u w:val="single" w:color="auto"/>
          <w:color w:val="auto"/>
        </w:rPr>
        <w:t>Other Documents</w:t>
      </w:r>
      <w:r>
        <w:rPr>
          <w:rFonts w:ascii="Times New Roman" w:cs="Times New Roman" w:eastAsia="Times New Roman" w:hAnsi="Times New Roman"/>
          <w:sz w:val="14"/>
          <w:szCs w:val="14"/>
          <w:color w:val="auto"/>
        </w:rPr>
        <w:t>. The Administrative Agent shall have been provided with such documents, instruments and agreements, and the Borrowers shall have taken such actions, in each case, as the Administrative Agent may reasonably require in connection with this Fifth Amendment and the transactions contemplated hereby.</w:t>
      </w:r>
    </w:p>
    <w:p>
      <w:pPr>
        <w:spacing w:after="0" w:line="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b w:val="1"/>
          <w:bCs w:val="1"/>
          <w:u w:val="single" w:color="auto"/>
          <w:color w:val="auto"/>
        </w:rPr>
        <w:t>Representations and Warranties</w:t>
      </w:r>
      <w:r>
        <w:rPr>
          <w:rFonts w:ascii="Times New Roman" w:cs="Times New Roman" w:eastAsia="Times New Roman" w:hAnsi="Times New Roman"/>
          <w:sz w:val="14"/>
          <w:szCs w:val="14"/>
          <w:color w:val="auto"/>
        </w:rPr>
        <w:t>. Each Loan Party hereby represents and warrants to the Lenders the following:</w:t>
      </w:r>
    </w:p>
    <w:p>
      <w:pPr>
        <w:spacing w:after="0" w:line="84" w:lineRule="exact"/>
        <w:rPr>
          <w:sz w:val="20"/>
          <w:szCs w:val="20"/>
          <w:color w:val="auto"/>
        </w:rPr>
      </w:pPr>
    </w:p>
    <w:p>
      <w:pPr>
        <w:jc w:val="both"/>
        <w:ind w:left="8" w:firstLine="864"/>
        <w:spacing w:after="0" w:line="268"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The representations and warranties contained in the Amended Credit Agreement and the other Loan Documents are true and correct in all material respects (without duplication of any materiality qualification applicable thereto) on and as of the date hereof as though made on and as of the date hereof, except to the extent such representations and warranties expressly relate to an earlier date, in which case such representations and warranties are true and correct as of such earlier date, and except for any change of facts expressly permitted under the provisions of the Amended Credit Agreement and the other Loan Documents.</w:t>
      </w:r>
    </w:p>
    <w:p>
      <w:pPr>
        <w:spacing w:after="0" w:line="200" w:lineRule="exact"/>
        <w:rPr>
          <w:sz w:val="20"/>
          <w:szCs w:val="20"/>
          <w:color w:val="auto"/>
        </w:rPr>
      </w:pPr>
    </w:p>
    <w:p>
      <w:pPr>
        <w:spacing w:after="0" w:line="20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308"/>
          </w:cols>
          <w:pgMar w:left="292" w:top="287" w:right="29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46" w:lineRule="exact"/>
        <w:rPr>
          <w:sz w:val="20"/>
          <w:szCs w:val="20"/>
          <w:color w:val="auto"/>
        </w:rPr>
      </w:pPr>
    </w:p>
    <w:p>
      <w:pPr>
        <w:ind w:left="860"/>
        <w:spacing w:after="0"/>
        <w:tabs>
          <w:tab w:leader="none" w:pos="116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4"/>
          <w:szCs w:val="14"/>
          <w:u w:val="single" w:color="auto"/>
          <w:color w:val="auto"/>
        </w:rPr>
        <w:t>No Default</w:t>
      </w:r>
      <w:r>
        <w:rPr>
          <w:rFonts w:ascii="Times New Roman" w:cs="Times New Roman" w:eastAsia="Times New Roman" w:hAnsi="Times New Roman"/>
          <w:sz w:val="14"/>
          <w:szCs w:val="14"/>
          <w:color w:val="auto"/>
        </w:rPr>
        <w:t>. No Default or Event of Default has occurred and is continuing as of the date hereof.</w:t>
      </w:r>
    </w:p>
    <w:p>
      <w:pPr>
        <w:spacing w:after="0" w:line="82" w:lineRule="exact"/>
        <w:rPr>
          <w:sz w:val="20"/>
          <w:szCs w:val="20"/>
          <w:color w:val="auto"/>
        </w:rPr>
      </w:pPr>
    </w:p>
    <w:p>
      <w:pPr>
        <w:jc w:val="both"/>
        <w:ind w:firstLine="864"/>
        <w:spacing w:after="0" w:line="282" w:lineRule="auto"/>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u w:val="single" w:color="auto"/>
          <w:color w:val="auto"/>
        </w:rPr>
        <w:t>Enforceability</w:t>
      </w:r>
      <w:r>
        <w:rPr>
          <w:rFonts w:ascii="Times New Roman" w:cs="Times New Roman" w:eastAsia="Times New Roman" w:hAnsi="Times New Roman"/>
          <w:sz w:val="14"/>
          <w:szCs w:val="14"/>
          <w:color w:val="auto"/>
        </w:rPr>
        <w:t>. This Fifth Amendment has been duly executed and delivered by such Loan Party, and the Amended Credit Agreement constitutes a legal, valid and binding obligation of such Loan Party, enforceable against such Loan Party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25"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4"/>
          <w:szCs w:val="14"/>
          <w:color w:val="auto"/>
        </w:rPr>
        <w:t xml:space="preserve">SECTION 6. </w:t>
      </w:r>
      <w:r>
        <w:rPr>
          <w:rFonts w:ascii="Times New Roman" w:cs="Times New Roman" w:eastAsia="Times New Roman" w:hAnsi="Times New Roman"/>
          <w:sz w:val="14"/>
          <w:szCs w:val="14"/>
          <w:b w:val="1"/>
          <w:bCs w:val="1"/>
          <w:u w:val="single" w:color="auto"/>
          <w:color w:val="auto"/>
        </w:rPr>
        <w:t>Survival of Representations and Warranties</w:t>
      </w:r>
      <w:r>
        <w:rPr>
          <w:rFonts w:ascii="Times New Roman" w:cs="Times New Roman" w:eastAsia="Times New Roman" w:hAnsi="Times New Roman"/>
          <w:sz w:val="14"/>
          <w:szCs w:val="14"/>
          <w:color w:val="auto"/>
        </w:rPr>
        <w:t>. All representations and warranties made in this Fifth Amendment, including any Loan Document furnished in connection with this Fifth Amendment, shall survive the execution and delivery of this Fifth Amendment and the other Loan Documents, and no investigation by the Administrative Agent or any closing shall affect the representations and warranties or the right of the Administrative Agent or any Lender to rely upon them.</w:t>
      </w:r>
    </w:p>
    <w:p>
      <w:pPr>
        <w:spacing w:after="0" w:line="30" w:lineRule="exact"/>
        <w:rPr>
          <w:sz w:val="20"/>
          <w:szCs w:val="20"/>
          <w:color w:val="auto"/>
        </w:rPr>
      </w:pPr>
    </w:p>
    <w:p>
      <w:pPr>
        <w:jc w:val="both"/>
        <w:ind w:right="20" w:firstLine="432"/>
        <w:spacing w:after="0" w:line="283" w:lineRule="auto"/>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b w:val="1"/>
          <w:bCs w:val="1"/>
          <w:u w:val="single" w:color="auto"/>
          <w:color w:val="auto"/>
        </w:rPr>
        <w:t>Expenses</w:t>
      </w:r>
      <w:r>
        <w:rPr>
          <w:rFonts w:ascii="Times New Roman" w:cs="Times New Roman" w:eastAsia="Times New Roman" w:hAnsi="Times New Roman"/>
          <w:sz w:val="14"/>
          <w:szCs w:val="14"/>
          <w:color w:val="auto"/>
        </w:rPr>
        <w:t>. As provided in Section 11.1 of the Amended Credit Agreement, and subject to the limitations expressly set forth therein, Holdings hereby agrees to pay on demand all reasonable legal and other fees, costs and expenses incurred by the Administrative Agent in connection with the negotiation, preparation, and execution of this Fifth Amendment and all related documents.</w:t>
      </w:r>
    </w:p>
    <w:p>
      <w:pPr>
        <w:spacing w:after="0" w:line="25"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4"/>
          <w:szCs w:val="14"/>
          <w:color w:val="auto"/>
        </w:rPr>
        <w:t xml:space="preserve">SECTION 8. </w:t>
      </w:r>
      <w:r>
        <w:rPr>
          <w:rFonts w:ascii="Times New Roman" w:cs="Times New Roman" w:eastAsia="Times New Roman" w:hAnsi="Times New Roman"/>
          <w:sz w:val="14"/>
          <w:szCs w:val="14"/>
          <w:b w:val="1"/>
          <w:bCs w:val="1"/>
          <w:u w:val="single" w:color="auto"/>
          <w:color w:val="auto"/>
        </w:rPr>
        <w:t>No Implied Waivers</w:t>
      </w:r>
      <w:r>
        <w:rPr>
          <w:rFonts w:ascii="Times New Roman" w:cs="Times New Roman" w:eastAsia="Times New Roman" w:hAnsi="Times New Roman"/>
          <w:sz w:val="14"/>
          <w:szCs w:val="14"/>
          <w:color w:val="auto"/>
        </w:rPr>
        <w:t>. No failure or delay on the part of the Administrative Agent or any Lender in exercising, and no course of dealing with respect to, any right, power or privilege under this Fifth Amendment, the Credit Agreement or any other Loan Document shall operate as a waiver thereof, nor shall any single or partial exercise of any right, power or privilege under this Fifth Amendment, the Credit Agreement or any other Loan Document preclude any other or further exercise thereof or the exercise of any other right, power or privilege.</w:t>
      </w:r>
    </w:p>
    <w:p>
      <w:pPr>
        <w:spacing w:after="0" w:line="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4"/>
          <w:szCs w:val="14"/>
          <w:color w:val="auto"/>
        </w:rPr>
        <w:t xml:space="preserve">SECTION 9. </w:t>
      </w:r>
      <w:r>
        <w:rPr>
          <w:rFonts w:ascii="Times New Roman" w:cs="Times New Roman" w:eastAsia="Times New Roman" w:hAnsi="Times New Roman"/>
          <w:sz w:val="14"/>
          <w:szCs w:val="14"/>
          <w:b w:val="1"/>
          <w:bCs w:val="1"/>
          <w:u w:val="single" w:color="auto"/>
          <w:color w:val="auto"/>
        </w:rPr>
        <w:t>Ratification and Affirmation of Loan Parties</w:t>
      </w:r>
      <w:r>
        <w:rPr>
          <w:rFonts w:ascii="Times New Roman" w:cs="Times New Roman" w:eastAsia="Times New Roman" w:hAnsi="Times New Roman"/>
          <w:sz w:val="14"/>
          <w:szCs w:val="14"/>
          <w:color w:val="auto"/>
        </w:rPr>
        <w:t>. Each of the Loan Parties hereby expressly (a) acknowledges the terms of this Fifth Amendment, (b) ratifies and affirms its obligations under the Loan Documents to which it is a party, (c) acknowledges, renews and extends its continued liability under the Loan Documents to which it is a party, and (d) agrees, with respect to each Loan Party that is a Guarantor, that its guarantee under the Guaranty remains in full force and effect with respect to the Obligations as amended hereby. Any and all of the terms and provisions of the Credit Agreement and the other Loan Documents shall, except as amended hereby, remain in full force and effect. The Loan Parties hereby extend the Liens securing the Obligations (as amended hereby) until the Obligations have been paid in full, and agree that the amendments herein contained shall in no manner affect or impair the Obligations or the Liens securing payment and performance thereof, all of which are ratified and confirmed.</w:t>
      </w:r>
    </w:p>
    <w:p>
      <w:pPr>
        <w:spacing w:after="0" w:line="45"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 xml:space="preserve">SECTION 10. </w:t>
      </w:r>
      <w:r>
        <w:rPr>
          <w:rFonts w:ascii="Times New Roman" w:cs="Times New Roman" w:eastAsia="Times New Roman" w:hAnsi="Times New Roman"/>
          <w:sz w:val="14"/>
          <w:szCs w:val="14"/>
          <w:b w:val="1"/>
          <w:bCs w:val="1"/>
          <w:u w:val="single" w:color="auto"/>
          <w:color w:val="auto"/>
        </w:rPr>
        <w:t>Severability</w:t>
      </w:r>
      <w:r>
        <w:rPr>
          <w:rFonts w:ascii="Times New Roman" w:cs="Times New Roman" w:eastAsia="Times New Roman" w:hAnsi="Times New Roman"/>
          <w:sz w:val="14"/>
          <w:szCs w:val="14"/>
          <w:color w:val="auto"/>
        </w:rPr>
        <w:t>. Any provision of this Fifth Amendment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14" w:lineRule="exact"/>
        <w:rPr>
          <w:sz w:val="20"/>
          <w:szCs w:val="20"/>
          <w:color w:val="auto"/>
        </w:rPr>
      </w:pPr>
    </w:p>
    <w:p>
      <w:pPr>
        <w:jc w:val="both"/>
        <w:ind w:right="20" w:firstLine="432"/>
        <w:spacing w:after="0" w:line="298" w:lineRule="auto"/>
        <w:rPr>
          <w:sz w:val="20"/>
          <w:szCs w:val="20"/>
          <w:color w:val="auto"/>
        </w:rPr>
      </w:pPr>
      <w:r>
        <w:rPr>
          <w:rFonts w:ascii="Times New Roman" w:cs="Times New Roman" w:eastAsia="Times New Roman" w:hAnsi="Times New Roman"/>
          <w:sz w:val="14"/>
          <w:szCs w:val="14"/>
          <w:color w:val="auto"/>
        </w:rPr>
        <w:t>SECTION 11.</w:t>
      </w:r>
      <w:r>
        <w:rPr>
          <w:rFonts w:ascii="Times New Roman" w:cs="Times New Roman" w:eastAsia="Times New Roman" w:hAnsi="Times New Roman"/>
          <w:sz w:val="14"/>
          <w:szCs w:val="14"/>
          <w:b w:val="1"/>
          <w:bCs w:val="1"/>
          <w:u w:val="single" w:color="auto"/>
          <w:color w:val="auto"/>
        </w:rPr>
        <w:t>APPLICABLE LAW</w:t>
      </w:r>
      <w:r>
        <w:rPr>
          <w:rFonts w:ascii="Times New Roman" w:cs="Times New Roman" w:eastAsia="Times New Roman" w:hAnsi="Times New Roman"/>
          <w:sz w:val="14"/>
          <w:szCs w:val="14"/>
          <w:color w:val="auto"/>
        </w:rPr>
        <w:t>. THIS FIFTH AMENDMENT SHALL BE GOVERNED BY, AND CONSTRUED IN ACCORDANCE WITH, THE LAWS OF THE STATE OF TEXAS.</w:t>
      </w:r>
    </w:p>
    <w:p>
      <w:pPr>
        <w:spacing w:after="0" w:line="14" w:lineRule="exact"/>
        <w:rPr>
          <w:sz w:val="20"/>
          <w:szCs w:val="20"/>
          <w:color w:val="auto"/>
        </w:rPr>
      </w:pPr>
    </w:p>
    <w:p>
      <w:pPr>
        <w:jc w:val="both"/>
        <w:ind w:right="20" w:firstLine="432"/>
        <w:spacing w:after="0" w:line="283" w:lineRule="auto"/>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b w:val="1"/>
          <w:bCs w:val="1"/>
          <w:u w:val="single" w:color="auto"/>
          <w:color w:val="auto"/>
        </w:rPr>
        <w:t>Successors and Assigns</w:t>
      </w:r>
      <w:r>
        <w:rPr>
          <w:rFonts w:ascii="Times New Roman" w:cs="Times New Roman" w:eastAsia="Times New Roman" w:hAnsi="Times New Roman"/>
          <w:sz w:val="14"/>
          <w:szCs w:val="14"/>
          <w:color w:val="auto"/>
        </w:rPr>
        <w:t>. This Fifth Amendment is binding upon and shall inure to the benefit of the Administrative Agent, the Lenders and the Loan Parties and their respective successors and permitted assigns, except the Loan Parties may not assign or transfer any of their rights or obligations hereunder without the prior written consent of the Administrative Agent, other than as expressly permitted under the terms of the Amended Credit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300"/>
          </w:cols>
          <w:pgMar w:left="300" w:top="287" w:right="29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00" w:lineRule="exact"/>
        <w:rPr>
          <w:sz w:val="20"/>
          <w:szCs w:val="20"/>
          <w:color w:val="auto"/>
        </w:rPr>
      </w:pPr>
    </w:p>
    <w:p>
      <w:pPr>
        <w:spacing w:after="0" w:line="278"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b w:val="1"/>
          <w:bCs w:val="1"/>
          <w:u w:val="single" w:color="auto"/>
          <w:color w:val="auto"/>
        </w:rPr>
        <w:t>Counterparts</w:t>
      </w:r>
      <w:r>
        <w:rPr>
          <w:rFonts w:ascii="Times New Roman" w:cs="Times New Roman" w:eastAsia="Times New Roman" w:hAnsi="Times New Roman"/>
          <w:sz w:val="14"/>
          <w:szCs w:val="14"/>
          <w:color w:val="auto"/>
        </w:rPr>
        <w:t>. This Fifth Amendment may be executed in any number of counterparts and by different parties hereto in separate counterparts, each of which when so executed and delivered shall be deemed an original but all of which when taken together shall constitute but one and the same instrument. Delivery of an executed signature page of this Fifth Amendment by facsimile transmission or PDF electronic transmission shall be effective as delivery of a manually executed counterpart hereof. The execution and delivery of this Fifth Amendment shall be deemed to include Electronic Signatures on electronic platforms approved by the Administrative Agent, which shall be of the same legal effect, validity or enforceability as delivery of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upon the request of any party hereto, such Electronic Signature shall be promptly followed by the original thereof.</w:t>
      </w:r>
    </w:p>
    <w:p>
      <w:pPr>
        <w:spacing w:after="0" w:line="38" w:lineRule="exact"/>
        <w:rPr>
          <w:sz w:val="20"/>
          <w:szCs w:val="20"/>
          <w:color w:val="auto"/>
        </w:rPr>
      </w:pPr>
    </w:p>
    <w:p>
      <w:pPr>
        <w:jc w:val="both"/>
        <w:ind w:right="20" w:firstLine="432"/>
        <w:spacing w:after="0" w:line="312"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b w:val="1"/>
          <w:bCs w:val="1"/>
          <w:u w:val="single" w:color="auto"/>
          <w:color w:val="auto"/>
        </w:rPr>
        <w:t>Effect of Consent</w:t>
      </w:r>
      <w:r>
        <w:rPr>
          <w:rFonts w:ascii="Times New Roman" w:cs="Times New Roman" w:eastAsia="Times New Roman" w:hAnsi="Times New Roman"/>
          <w:sz w:val="14"/>
          <w:szCs w:val="14"/>
          <w:color w:val="auto"/>
        </w:rPr>
        <w:t>. No consent or waiver, express or implied, by the Administrative Agent to or for any breach of or deviation from any covenant, condition or duty by the Borrowers shall be deemed a consent or waiver to or of any other breach of the same or any other covenant, condition or duty.</w:t>
      </w:r>
    </w:p>
    <w:p>
      <w:pPr>
        <w:spacing w:after="0" w:line="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b w:val="1"/>
          <w:bCs w:val="1"/>
          <w:u w:val="single" w:color="auto"/>
          <w:color w:val="auto"/>
        </w:rPr>
        <w:t>Headings</w:t>
      </w:r>
      <w:r>
        <w:rPr>
          <w:rFonts w:ascii="Times New Roman" w:cs="Times New Roman" w:eastAsia="Times New Roman" w:hAnsi="Times New Roman"/>
          <w:sz w:val="14"/>
          <w:szCs w:val="14"/>
          <w:color w:val="auto"/>
        </w:rPr>
        <w:t>. The headings of this Fifth Amendment are for purposes of reference only and shall not limit or otherwise affect the meaning hereof.</w:t>
      </w:r>
    </w:p>
    <w:p>
      <w:pPr>
        <w:spacing w:after="0" w:line="82"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4"/>
          <w:szCs w:val="14"/>
          <w:color w:val="auto"/>
        </w:rPr>
        <w:t xml:space="preserve">SECTION 16. </w:t>
      </w:r>
      <w:r>
        <w:rPr>
          <w:rFonts w:ascii="Times New Roman" w:cs="Times New Roman" w:eastAsia="Times New Roman" w:hAnsi="Times New Roman"/>
          <w:sz w:val="14"/>
          <w:szCs w:val="14"/>
          <w:b w:val="1"/>
          <w:bCs w:val="1"/>
          <w:u w:val="single" w:color="auto"/>
          <w:color w:val="auto"/>
        </w:rPr>
        <w:t>Reaffirmation of Loan Documents</w:t>
      </w:r>
      <w:r>
        <w:rPr>
          <w:rFonts w:ascii="Times New Roman" w:cs="Times New Roman" w:eastAsia="Times New Roman" w:hAnsi="Times New Roman"/>
          <w:sz w:val="14"/>
          <w:szCs w:val="14"/>
          <w:color w:val="auto"/>
        </w:rPr>
        <w:t>. This Fifth Amendment shall be deemed to be an amendment to the Credit Agreement, and the Amended Credit Agreement and the other Loan Documents are hereby ratified, approved and confirmed in each and every respect. All references to the Credit Agreement herein and in any other document, instrument, agreement or writing shall hereafter be deemed to refer to the Amended Credit Agreement.</w:t>
      </w:r>
    </w:p>
    <w:p>
      <w:pPr>
        <w:spacing w:after="0" w:line="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b w:val="1"/>
          <w:bCs w:val="1"/>
          <w:u w:val="single" w:color="auto"/>
          <w:color w:val="auto"/>
        </w:rPr>
        <w:t>Loan Document</w:t>
      </w:r>
      <w:r>
        <w:rPr>
          <w:rFonts w:ascii="Times New Roman" w:cs="Times New Roman" w:eastAsia="Times New Roman" w:hAnsi="Times New Roman"/>
          <w:sz w:val="14"/>
          <w:szCs w:val="14"/>
          <w:color w:val="auto"/>
        </w:rPr>
        <w:t>. This Fifth Amendment constitutes a “Loan Document” under and as defined in the Amended Credit Agreement.</w:t>
      </w:r>
    </w:p>
    <w:p>
      <w:pPr>
        <w:spacing w:after="0" w:line="91"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b w:val="1"/>
          <w:bCs w:val="1"/>
          <w:u w:val="single" w:color="auto"/>
          <w:color w:val="auto"/>
        </w:rPr>
        <w:t>Entire Agreement</w:t>
      </w:r>
      <w:r>
        <w:rPr>
          <w:rFonts w:ascii="Times New Roman" w:cs="Times New Roman" w:eastAsia="Times New Roman" w:hAnsi="Times New Roman"/>
          <w:sz w:val="14"/>
          <w:szCs w:val="14"/>
          <w:color w:val="auto"/>
        </w:rPr>
        <w:t>. THE CREDIT AGREEMENT, THIS FIFTH AMENDMENT, THE OTHER LOAN DOCUMENTS, AND ALL OTHER INSTRUMENTS, DOCUMENTS AND AGREEMENTS EXECUTED AND DELIVERED IN CONNECTION WITH THIS FIFTH AMENDMENT REPRESENT THE FINAL AGREEMENT AMONG THE PARTIES AND MAY NOT BE CONTRADICTED BY EVIDENCE OF PRIOR, CONTEMPORANEOUS OR SUBSEQUENT ORAL AGREEMENTS OF THE PARTIES. THERE ARE NO ORAL AGREEMENTS AMONG THE PARTIES.</w:t>
      </w:r>
    </w:p>
    <w:p>
      <w:pPr>
        <w:spacing w:after="0" w:line="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SECTION 19. </w:t>
      </w:r>
      <w:r>
        <w:rPr>
          <w:rFonts w:ascii="Times New Roman" w:cs="Times New Roman" w:eastAsia="Times New Roman" w:hAnsi="Times New Roman"/>
          <w:sz w:val="14"/>
          <w:szCs w:val="14"/>
          <w:b w:val="1"/>
          <w:bCs w:val="1"/>
          <w:u w:val="single" w:color="auto"/>
          <w:color w:val="auto"/>
        </w:rPr>
        <w:t>Titles and Roles</w:t>
      </w:r>
      <w:r>
        <w:rPr>
          <w:rFonts w:ascii="Times New Roman" w:cs="Times New Roman" w:eastAsia="Times New Roman" w:hAnsi="Times New Roman"/>
          <w:sz w:val="14"/>
          <w:szCs w:val="14"/>
          <w:color w:val="auto"/>
        </w:rPr>
        <w:t>. As of the Fifth Amendment Effective Date, each of the institutions listed directly below shall have the titles and roles set forth opposite its name: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Institution</w:t>
            </w:r>
          </w:p>
        </w:tc>
        <w:tc>
          <w:tcPr>
            <w:tcW w:w="3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Title(s) and Roles</w:t>
            </w:r>
          </w:p>
        </w:tc>
      </w:tr>
      <w:tr>
        <w:trPr>
          <w:trHeight w:val="243"/>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TCBI Securities, Inc.</w:t>
            </w:r>
          </w:p>
        </w:tc>
        <w:tc>
          <w:tcPr>
            <w:tcW w:w="33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Joint Lead Arranger and Joint Book Runner</w:t>
            </w:r>
          </w:p>
        </w:tc>
      </w:tr>
      <w:tr>
        <w:trPr>
          <w:trHeight w:val="243"/>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Huntington National Bank</w:t>
            </w:r>
          </w:p>
        </w:tc>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Joint Lead Arranger and Joint Book Runner</w:t>
            </w:r>
          </w:p>
        </w:tc>
      </w:tr>
      <w:tr>
        <w:trPr>
          <w:trHeight w:val="243"/>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Bank of America, N.A.</w:t>
            </w:r>
          </w:p>
        </w:tc>
        <w:tc>
          <w:tcPr>
            <w:tcW w:w="33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Joint Lead Arranger and Joint Book Runner</w:t>
            </w:r>
          </w:p>
        </w:tc>
      </w:tr>
      <w:tr>
        <w:trPr>
          <w:trHeight w:val="243"/>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Flagstar Bank, N.A.</w:t>
            </w:r>
          </w:p>
        </w:tc>
        <w:tc>
          <w:tcPr>
            <w:tcW w:w="33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Co-Documentation Agent</w:t>
            </w:r>
          </w:p>
        </w:tc>
      </w:tr>
      <w:tr>
        <w:trPr>
          <w:trHeight w:val="252"/>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Regions Bank</w:t>
            </w:r>
          </w:p>
        </w:tc>
        <w:tc>
          <w:tcPr>
            <w:tcW w:w="33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Co-Documentation Agent</w:t>
            </w:r>
          </w:p>
        </w:tc>
      </w:tr>
      <w:tr>
        <w:trPr>
          <w:trHeight w:val="243"/>
        </w:trPr>
        <w:tc>
          <w:tcPr>
            <w:tcW w:w="4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Zions Bancorporation, N.A. dba Amegy Bank  Co-Documentation Agent</w:t>
            </w:r>
          </w:p>
        </w:tc>
      </w:tr>
      <w:tr>
        <w:trPr>
          <w:trHeight w:val="243"/>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First-Citizens Bank &amp; Trust Company</w:t>
            </w:r>
          </w:p>
        </w:tc>
        <w:tc>
          <w:tcPr>
            <w:tcW w:w="2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Co-Documentation Agent</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300"/>
          </w:cols>
          <w:pgMar w:left="300" w:top="287" w:right="29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00" w:lineRule="exact"/>
        <w:rPr>
          <w:sz w:val="20"/>
          <w:szCs w:val="20"/>
          <w:color w:val="auto"/>
        </w:rPr>
      </w:pPr>
    </w:p>
    <w:p>
      <w:pPr>
        <w:spacing w:after="0" w:line="2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REMAINDER OF THIS PAGE HAS BEEN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60"/>
          </w:cols>
          <w:pgMar w:left="1440" w:top="287" w:right="29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the parties hereto have executed this Fifth Amendment as of the date set forth above.</w:t>
      </w:r>
    </w:p>
    <w:p>
      <w:pPr>
        <w:spacing w:after="0" w:line="8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b w:val="1"/>
          <w:bCs w:val="1"/>
          <w:u w:val="single" w:color="auto"/>
          <w:color w:val="auto"/>
        </w:rPr>
        <w:t>BORROWERS</w:t>
      </w: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NATURAL GAS SERVICES GROUP, INC.</w:t>
      </w:r>
      <w:r>
        <w:rPr>
          <w:rFonts w:ascii="Times New Roman" w:cs="Times New Roman" w:eastAsia="Times New Roman" w:hAnsi="Times New Roman"/>
          <w:sz w:val="14"/>
          <w:szCs w:val="14"/>
          <w:color w:val="auto"/>
        </w:rPr>
        <w:t>,</w:t>
      </w:r>
    </w:p>
    <w:p>
      <w:pPr>
        <w:spacing w:after="0" w:line="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a Colorado corporation</w:t>
      </w:r>
    </w:p>
    <w:p>
      <w:pPr>
        <w:spacing w:after="0" w:line="23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u w:val="single" w:color="auto"/>
          <w:color w:val="auto"/>
        </w:rPr>
        <w:t>/s/ Ian Eckert</w:t>
      </w:r>
      <w:r>
        <w:rPr>
          <w:rFonts w:ascii="Times New Roman" w:cs="Times New Roman" w:eastAsia="Times New Roman" w:hAnsi="Times New Roman"/>
          <w:sz w:val="14"/>
          <w:szCs w:val="14"/>
          <w:color w:val="auto"/>
        </w:rPr>
        <w:t>______________</w:t>
      </w:r>
    </w:p>
    <w:p>
      <w:pPr>
        <w:spacing w:after="0" w:line="2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Name: Ian Eckert</w:t>
      </w:r>
    </w:p>
    <w:p>
      <w:pPr>
        <w:spacing w:after="0" w:line="1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880"/>
          </w:cols>
          <w:pgMar w:left="720" w:top="287" w:right="29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u w:val="single" w:color="auto"/>
          <w:color w:val="auto"/>
        </w:rPr>
        <w:t>GUARANTORS</w:t>
      </w: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NGSG PROPERTIES, LLC</w:t>
      </w:r>
      <w:r>
        <w:rPr>
          <w:rFonts w:ascii="Times New Roman" w:cs="Times New Roman" w:eastAsia="Times New Roman" w:hAnsi="Times New Roman"/>
          <w:sz w:val="14"/>
          <w:szCs w:val="14"/>
          <w:color w:val="auto"/>
        </w:rPr>
        <w:t>,</w:t>
      </w:r>
    </w:p>
    <w:p>
      <w:pPr>
        <w:spacing w:after="0" w:line="2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a Colorado limited liability company</w:t>
      </w:r>
    </w:p>
    <w:p>
      <w:pPr>
        <w:spacing w:after="0" w:line="7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u w:val="single" w:color="auto"/>
          <w:color w:val="auto"/>
        </w:rPr>
        <w:t>/s/ Ian Eckert</w:t>
      </w:r>
      <w:r>
        <w:rPr>
          <w:rFonts w:ascii="Times New Roman" w:cs="Times New Roman" w:eastAsia="Times New Roman" w:hAnsi="Times New Roman"/>
          <w:sz w:val="14"/>
          <w:szCs w:val="14"/>
          <w:color w:val="auto"/>
        </w:rPr>
        <w:t>______________</w:t>
      </w:r>
    </w:p>
    <w:p>
      <w:pPr>
        <w:spacing w:after="0" w:line="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Name: Ian Eckert</w:t>
      </w:r>
    </w:p>
    <w:p>
      <w:pPr>
        <w:spacing w:after="0" w:line="1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60"/>
          </w:cols>
          <w:pgMar w:left="1440" w:top="287" w:right="29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u w:val="single" w:color="auto"/>
          <w:color w:val="auto"/>
        </w:rPr>
        <w:t>ADMINISTRATIVE AGENT, SWING LINE LENDER, L/C ISSUER AND LENDER</w:t>
      </w:r>
      <w:r>
        <w:rPr>
          <w:rFonts w:ascii="Times New Roman" w:cs="Times New Roman" w:eastAsia="Times New Roman" w:hAnsi="Times New Roman"/>
          <w:sz w:val="14"/>
          <w:szCs w:val="14"/>
          <w:color w:val="auto"/>
        </w:rPr>
        <w:t>:</w:t>
      </w:r>
    </w:p>
    <w:p>
      <w:pPr>
        <w:spacing w:after="0" w:line="8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TEXAS CAPITAL BANK</w:t>
      </w:r>
      <w:r>
        <w:rPr>
          <w:rFonts w:ascii="Times New Roman" w:cs="Times New Roman" w:eastAsia="Times New Roman" w:hAnsi="Times New Roman"/>
          <w:sz w:val="14"/>
          <w:szCs w:val="14"/>
          <w:color w:val="auto"/>
        </w:rPr>
        <w:t>, as Administrative Agent, Swing Line Lender, L/C Issuer and a Lender</w:t>
      </w:r>
    </w:p>
    <w:p>
      <w:pPr>
        <w:spacing w:after="0" w:line="8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u w:val="single" w:color="auto"/>
          <w:color w:val="auto"/>
        </w:rPr>
        <w:t>/s/ Dan Clubb</w:t>
      </w: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Name: Dan Clubb</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60"/>
          </w:cols>
          <w:pgMar w:left="1440" w:top="287" w:right="29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THE HUNTINGTON NATIONAL BANK</w:t>
      </w:r>
      <w:r>
        <w:rPr>
          <w:rFonts w:ascii="Times New Roman" w:cs="Times New Roman" w:eastAsia="Times New Roman" w:hAnsi="Times New Roman"/>
          <w:sz w:val="14"/>
          <w:szCs w:val="14"/>
          <w:color w:val="auto"/>
        </w:rPr>
        <w:t>,</w:t>
      </w:r>
    </w:p>
    <w:p>
      <w:pPr>
        <w:spacing w:after="0" w:line="2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as a Lender</w:t>
      </w:r>
    </w:p>
    <w:p>
      <w:pPr>
        <w:spacing w:after="0" w:line="6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u w:val="single" w:color="auto"/>
          <w:color w:val="auto"/>
        </w:rPr>
        <w:t>/s/ John Kolb</w:t>
      </w: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Name: John Kolb</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60"/>
          </w:cols>
          <w:pgMar w:left="1440" w:top="287" w:right="29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4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BANK OF AMERICA, N.A.,</w:t>
      </w:r>
    </w:p>
    <w:p>
      <w:pPr>
        <w:spacing w:after="0" w:line="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as a Lender</w:t>
      </w:r>
    </w:p>
    <w:p>
      <w:pPr>
        <w:spacing w:after="0" w:line="6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u w:val="single" w:color="auto"/>
          <w:color w:val="auto"/>
        </w:rPr>
        <w:t>/s/ Griffin Bayoud</w:t>
      </w: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Name: Griffin Bayoud</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60"/>
          </w:cols>
          <w:pgMar w:left="1440" w:top="287" w:right="29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4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FLAGSTAR BANK, N.A.,</w:t>
      </w:r>
    </w:p>
    <w:p>
      <w:pPr>
        <w:spacing w:after="0" w:line="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as a Lender</w:t>
      </w:r>
    </w:p>
    <w:p>
      <w:pPr>
        <w:spacing w:after="0" w:line="6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u w:val="single" w:color="auto"/>
          <w:color w:val="auto"/>
        </w:rPr>
        <w:t>/s/ Robert Love</w:t>
      </w: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Name: Robert Love</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Title: Senior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60"/>
          </w:cols>
          <w:pgMar w:left="1440" w:top="287" w:right="29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4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ZIONS BANCORPORATION, N.A. DBA</w:t>
      </w:r>
    </w:p>
    <w:p>
      <w:pPr>
        <w:spacing w:after="0" w:line="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AMEGY BANK,</w:t>
      </w:r>
    </w:p>
    <w:p>
      <w:pPr>
        <w:spacing w:after="0" w:line="1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as a Lender</w:t>
      </w:r>
    </w:p>
    <w:p>
      <w:pPr>
        <w:spacing w:after="0" w:line="7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u w:val="single" w:color="auto"/>
          <w:color w:val="auto"/>
        </w:rPr>
        <w:t>/s/ Jill McSorley</w:t>
      </w:r>
      <w:r>
        <w:rPr>
          <w:rFonts w:ascii="Times New Roman" w:cs="Times New Roman" w:eastAsia="Times New Roman" w:hAnsi="Times New Roman"/>
          <w:sz w:val="14"/>
          <w:szCs w:val="14"/>
          <w:color w:val="auto"/>
        </w:rPr>
        <w:t>______________</w:t>
      </w:r>
    </w:p>
    <w:p>
      <w:pPr>
        <w:spacing w:after="0" w:line="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Name: Jill McSorley</w:t>
      </w:r>
    </w:p>
    <w:p>
      <w:pPr>
        <w:spacing w:after="0" w:line="1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Title: Senior Vice President – Amegy Bank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60"/>
          </w:cols>
          <w:pgMar w:left="1440" w:top="287" w:right="29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4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FIRST-CITIZENS BANK &amp; TRUST COMPANY,</w:t>
      </w:r>
    </w:p>
    <w:p>
      <w:pPr>
        <w:spacing w:after="0" w:line="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as a Lender</w:t>
      </w:r>
    </w:p>
    <w:p>
      <w:pPr>
        <w:spacing w:after="0" w:line="6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u w:val="single" w:color="auto"/>
          <w:color w:val="auto"/>
        </w:rPr>
        <w:t>/s/ Christopher Solley</w:t>
      </w: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Name: Christopher Solley</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60"/>
          </w:cols>
          <w:pgMar w:left="1440" w:top="287" w:right="29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4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WEBSTER BUSINESS CREDIT,</w:t>
      </w:r>
    </w:p>
    <w:p>
      <w:pPr>
        <w:spacing w:after="0" w:line="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a division of Webster Bank, N.A.,</w:t>
      </w:r>
    </w:p>
    <w:p>
      <w:pPr>
        <w:spacing w:after="0" w:line="1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as a Lender</w:t>
      </w:r>
    </w:p>
    <w:p>
      <w:pPr>
        <w:spacing w:after="0" w:line="7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u w:val="single" w:color="auto"/>
          <w:color w:val="auto"/>
        </w:rPr>
        <w:t>/s/ Bryan Glass</w:t>
      </w:r>
      <w:r>
        <w:rPr>
          <w:rFonts w:ascii="Times New Roman" w:cs="Times New Roman" w:eastAsia="Times New Roman" w:hAnsi="Times New Roman"/>
          <w:sz w:val="14"/>
          <w:szCs w:val="14"/>
          <w:color w:val="auto"/>
        </w:rPr>
        <w:t>______________</w:t>
      </w:r>
    </w:p>
    <w:p>
      <w:pPr>
        <w:spacing w:after="0" w:line="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Name: Bryan Glass</w:t>
      </w:r>
    </w:p>
    <w:p>
      <w:pPr>
        <w:spacing w:after="0" w:line="1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60"/>
          </w:cols>
          <w:pgMar w:left="1440" w:top="287" w:right="29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4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CATERPILLAR FINANCIAL SERVICES CORPORATION,</w:t>
      </w:r>
    </w:p>
    <w:p>
      <w:pPr>
        <w:spacing w:after="0" w:line="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as a Lender</w:t>
      </w:r>
    </w:p>
    <w:p>
      <w:pPr>
        <w:spacing w:after="0" w:line="6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u w:val="single" w:color="auto"/>
          <w:color w:val="auto"/>
        </w:rPr>
        <w:t>/s/ Chris Hough</w:t>
      </w: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Name: Chris Hough</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Title: Manager Credit - Structured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60"/>
          </w:cols>
          <w:pgMar w:left="1440" w:top="287" w:right="29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4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BANK OF HOPE,</w:t>
      </w:r>
    </w:p>
    <w:p>
      <w:pPr>
        <w:spacing w:after="0" w:line="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as a Lender</w:t>
      </w:r>
    </w:p>
    <w:p>
      <w:pPr>
        <w:spacing w:after="0" w:line="6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u w:val="single" w:color="auto"/>
          <w:color w:val="auto"/>
        </w:rPr>
        <w:t>/s/ Kim Coil</w:t>
      </w: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Name: Kim Coil</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60"/>
          </w:cols>
          <w:pgMar w:left="1440" w:top="287" w:right="29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4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REGIONS BANK,</w:t>
      </w:r>
    </w:p>
    <w:p>
      <w:pPr>
        <w:spacing w:after="0" w:line="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as the New Lender</w:t>
      </w:r>
    </w:p>
    <w:p>
      <w:pPr>
        <w:spacing w:after="0" w:line="6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u w:val="single" w:color="auto"/>
          <w:color w:val="auto"/>
        </w:rPr>
        <w:t>/s/ Ben Barnhart</w:t>
      </w:r>
      <w:r>
        <w:rPr>
          <w:rFonts w:ascii="Times New Roman" w:cs="Times New Roman" w:eastAsia="Times New Roman" w:hAnsi="Times New Roman"/>
          <w:sz w:val="14"/>
          <w:szCs w:val="14"/>
          <w:color w:val="auto"/>
        </w:rPr>
        <w:t>______________</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Name: Ben Barnhart</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Title: Asst.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60"/>
          </w:cols>
          <w:pgMar w:left="1440" w:top="287" w:right="29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4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u w:val="single" w:color="auto"/>
          <w:color w:val="auto"/>
        </w:rPr>
        <w:t>ANNEX A</w:t>
      </w:r>
    </w:p>
    <w:p>
      <w:pPr>
        <w:spacing w:after="0" w:line="8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u w:val="single" w:color="auto"/>
          <w:color w:val="auto"/>
        </w:rPr>
        <w:t>Amended Credit Agreement</w:t>
      </w:r>
    </w:p>
    <w:p>
      <w:pPr>
        <w:spacing w:after="0" w:line="8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[Attached]</w:t>
      </w:r>
    </w:p>
    <w:p>
      <w:pPr>
        <w:spacing w:after="0" w:line="200" w:lineRule="exact"/>
        <w:rPr>
          <w:sz w:val="20"/>
          <w:szCs w:val="20"/>
          <w:color w:val="auto"/>
        </w:rPr>
      </w:pPr>
    </w:p>
    <w:p>
      <w:pPr>
        <w:spacing w:after="0" w:line="2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60"/>
          </w:cols>
          <w:pgMar w:left="1440" w:top="287" w:right="29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AMENDED AND RESTATED CREDIT AGREEMENT</w:t>
      </w:r>
    </w:p>
    <w:p>
      <w:pPr>
        <w:spacing w:after="0" w:line="32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among</w:t>
      </w:r>
    </w:p>
    <w:p>
      <w:pPr>
        <w:spacing w:after="0" w:line="16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NATURAL GAS SERVICES GROUP, INC.</w:t>
      </w:r>
      <w:r>
        <w:rPr>
          <w:rFonts w:ascii="Times New Roman" w:cs="Times New Roman" w:eastAsia="Times New Roman" w:hAnsi="Times New Roman"/>
          <w:sz w:val="14"/>
          <w:szCs w:val="14"/>
          <w:color w:val="auto"/>
        </w:rPr>
        <w:t>,</w:t>
      </w:r>
    </w:p>
    <w:p>
      <w:pPr>
        <w:spacing w:after="0" w:line="16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as a Borrower,</w:t>
      </w:r>
    </w:p>
    <w:p>
      <w:pPr>
        <w:spacing w:after="0" w:line="16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and</w:t>
      </w:r>
    </w:p>
    <w:p>
      <w:pPr>
        <w:spacing w:after="0" w:line="1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THE OTHER LOAN PARTIES FROM TIME TO TIME PARTY HERETO</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THE LENDERS FROM TIME TO TIME PARTY HERETO</w:t>
      </w:r>
    </w:p>
    <w:p>
      <w:pPr>
        <w:spacing w:after="0" w:line="16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and</w:t>
      </w:r>
    </w:p>
    <w:p>
      <w:pPr>
        <w:spacing w:after="0" w:line="16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TEXAS CAPITAL BANK</w:t>
      </w:r>
      <w:r>
        <w:rPr>
          <w:rFonts w:ascii="Times New Roman" w:cs="Times New Roman" w:eastAsia="Times New Roman" w:hAnsi="Times New Roman"/>
          <w:sz w:val="14"/>
          <w:szCs w:val="14"/>
          <w:color w:val="auto"/>
        </w:rPr>
        <w:t>,</w:t>
      </w:r>
    </w:p>
    <w:p>
      <w:pPr>
        <w:spacing w:after="0" w:line="1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as Administrative Agent, Swing Line Lender and L/C Issuer</w:t>
      </w:r>
    </w:p>
    <w:p>
      <w:pPr>
        <w:spacing w:after="0" w:line="14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TCBI SECURITIES, INC.</w:t>
      </w:r>
      <w:r>
        <w:rPr>
          <w:rFonts w:ascii="Times New Roman" w:cs="Times New Roman" w:eastAsia="Times New Roman" w:hAnsi="Times New Roman"/>
          <w:sz w:val="14"/>
          <w:szCs w:val="14"/>
          <w:color w:val="auto"/>
        </w:rPr>
        <w:t>,</w:t>
      </w:r>
    </w:p>
    <w:p>
      <w:pPr>
        <w:spacing w:after="0" w:line="1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THE HUNTINGTON NATIONAL BANK</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and</w:t>
      </w:r>
    </w:p>
    <w:p>
      <w:pPr>
        <w:spacing w:after="0" w:line="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BANK OF AMERICA, N.A.</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as Joint Lead Arrangers and Joint Book Runners</w:t>
      </w:r>
    </w:p>
    <w:p>
      <w:pPr>
        <w:spacing w:after="0" w:line="14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FLAGSTAR BANK, N.A.</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REGIONS BANK</w:t>
      </w:r>
      <w:r>
        <w:rPr>
          <w:rFonts w:ascii="Times New Roman" w:cs="Times New Roman" w:eastAsia="Times New Roman" w:hAnsi="Times New Roman"/>
          <w:sz w:val="14"/>
          <w:szCs w:val="14"/>
          <w:color w:val="auto"/>
        </w:rPr>
        <w:t>,</w:t>
      </w: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ZIONS BANCORPORATION, N.A. DBA AMEGY BANK</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and</w:t>
      </w:r>
    </w:p>
    <w:p>
      <w:pPr>
        <w:spacing w:after="0" w:line="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FIRST-CITIZENS BANK &amp; TRUST COMPANY</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as Co-Documentation Agents</w:t>
      </w:r>
    </w:p>
    <w:p>
      <w:pPr>
        <w:spacing w:after="0" w:line="14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color w:val="auto"/>
        </w:rPr>
        <w:t>DATED AS OF FEBRUARY 28, 2023</w:t>
      </w:r>
    </w:p>
    <w:p>
      <w:pPr>
        <w:spacing w:after="0" w:line="200" w:lineRule="exact"/>
        <w:rPr>
          <w:sz w:val="20"/>
          <w:szCs w:val="20"/>
          <w:color w:val="auto"/>
        </w:rPr>
      </w:pPr>
    </w:p>
    <w:p>
      <w:pPr>
        <w:spacing w:after="0" w:line="34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60"/>
          </w:cols>
          <w:pgMar w:left="1440" w:top="287" w:right="2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59"/>
        </w:trPr>
        <w:tc>
          <w:tcPr>
            <w:tcW w:w="3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3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tc>
        <w:tc>
          <w:tcPr>
            <w:tcW w:w="0" w:type="dxa"/>
            <w:vAlign w:val="bottom"/>
          </w:tcPr>
          <w:p>
            <w:pPr>
              <w:spacing w:after="0"/>
              <w:rPr>
                <w:sz w:val="1"/>
                <w:szCs w:val="1"/>
                <w:color w:val="auto"/>
              </w:rPr>
            </w:pPr>
          </w:p>
        </w:tc>
      </w:tr>
      <w:tr>
        <w:trPr>
          <w:trHeight w:val="378"/>
        </w:trPr>
        <w:tc>
          <w:tcPr>
            <w:tcW w:w="3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380" w:type="dxa"/>
            <w:vAlign w:val="bottom"/>
          </w:tcPr>
          <w:p>
            <w:pPr>
              <w:jc w:val="right"/>
              <w:ind w:right="4849"/>
              <w:spacing w:after="0"/>
              <w:rPr>
                <w:sz w:val="20"/>
                <w:szCs w:val="20"/>
                <w:color w:val="auto"/>
              </w:rPr>
            </w:pPr>
            <w:r>
              <w:rPr>
                <w:rFonts w:ascii="Times New Roman" w:cs="Times New Roman" w:eastAsia="Times New Roman" w:hAnsi="Times New Roman"/>
                <w:sz w:val="14"/>
                <w:szCs w:val="14"/>
                <w:color w:val="auto"/>
              </w:rPr>
              <w:t>TABLE OF CONTENTS</w:t>
            </w:r>
          </w:p>
        </w:tc>
        <w:tc>
          <w:tcPr>
            <w:tcW w:w="0" w:type="dxa"/>
            <w:vAlign w:val="bottom"/>
          </w:tcPr>
          <w:p>
            <w:pPr>
              <w:spacing w:after="0"/>
              <w:rPr>
                <w:sz w:val="1"/>
                <w:szCs w:val="1"/>
                <w:color w:val="auto"/>
              </w:rPr>
            </w:pPr>
          </w:p>
        </w:tc>
      </w:tr>
      <w:tr>
        <w:trPr>
          <w:trHeight w:val="188"/>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0"/>
              </w:rPr>
              <w:t>Article 1. DEFINITIONS...............................................................</w:t>
            </w:r>
          </w:p>
        </w:tc>
        <w:tc>
          <w:tcPr>
            <w:tcW w:w="1620" w:type="dxa"/>
            <w:vAlign w:val="bottom"/>
            <w:vMerge w:val="restart"/>
          </w:tcPr>
          <w:p>
            <w:pPr>
              <w:jc w:val="right"/>
              <w:ind w:right="1008"/>
              <w:spacing w:after="0"/>
              <w:rPr>
                <w:sz w:val="20"/>
                <w:szCs w:val="20"/>
                <w:color w:val="auto"/>
              </w:rPr>
            </w:pPr>
            <w:r>
              <w:rPr>
                <w:rFonts w:ascii="Times New Roman" w:cs="Times New Roman" w:eastAsia="Times New Roman" w:hAnsi="Times New Roman"/>
                <w:sz w:val="14"/>
                <w:szCs w:val="14"/>
                <w:color w:val="auto"/>
              </w:rPr>
              <w:t>1</w:t>
            </w: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36"/>
        </w:trPr>
        <w:tc>
          <w:tcPr>
            <w:tcW w:w="330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6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1.1 Definitions..................................................</w:t>
            </w:r>
          </w:p>
        </w:tc>
        <w:tc>
          <w:tcPr>
            <w:tcW w:w="16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rPr>
              <w:t>1</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1.2 Accounting Matters..................................</w:t>
            </w: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49</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Section 1.3 ERISA Matters.........................................</w:t>
            </w:r>
          </w:p>
        </w:tc>
        <w:tc>
          <w:tcPr>
            <w:tcW w:w="16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50</w:t>
            </w:r>
          </w:p>
        </w:tc>
        <w:tc>
          <w:tcPr>
            <w:tcW w:w="6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1.4 Letter of Credit Amounts.........................</w:t>
            </w: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50</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1.5 Other Definitional Provisions...................</w:t>
            </w:r>
          </w:p>
        </w:tc>
        <w:tc>
          <w:tcPr>
            <w:tcW w:w="16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w w:val="99"/>
              </w:rPr>
              <w:t>50</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1.6 Interpretative Provision............................</w:t>
            </w: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1.7 Times of Day............................................</w:t>
            </w: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1.8 Other Loan Documents.............................</w:t>
            </w:r>
          </w:p>
        </w:tc>
        <w:tc>
          <w:tcPr>
            <w:tcW w:w="1620" w:type="dxa"/>
            <w:vAlign w:val="bottom"/>
          </w:tcPr>
          <w:p>
            <w:pPr>
              <w:jc w:val="right"/>
              <w:ind w:right="1368"/>
              <w:spacing w:after="0"/>
              <w:rPr>
                <w:sz w:val="20"/>
                <w:szCs w:val="20"/>
                <w:color w:val="auto"/>
              </w:rPr>
            </w:pPr>
            <w:r>
              <w:rPr>
                <w:rFonts w:ascii="Times New Roman" w:cs="Times New Roman" w:eastAsia="Times New Roman" w:hAnsi="Times New Roman"/>
                <w:sz w:val="14"/>
                <w:szCs w:val="14"/>
                <w:color w:val="auto"/>
              </w:rPr>
              <w:t>51</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1.9 Divisions...................................................</w:t>
            </w:r>
          </w:p>
        </w:tc>
        <w:tc>
          <w:tcPr>
            <w:tcW w:w="16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w w:val="99"/>
              </w:rPr>
              <w:t>51</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1.10 Pro Forma Calculations............................</w:t>
            </w:r>
          </w:p>
        </w:tc>
        <w:tc>
          <w:tcPr>
            <w:tcW w:w="1620" w:type="dxa"/>
            <w:vAlign w:val="bottom"/>
          </w:tcPr>
          <w:p>
            <w:pPr>
              <w:jc w:val="right"/>
              <w:ind w:right="1328"/>
              <w:spacing w:after="0"/>
              <w:rPr>
                <w:sz w:val="20"/>
                <w:szCs w:val="20"/>
                <w:color w:val="auto"/>
              </w:rPr>
            </w:pPr>
            <w:r>
              <w:rPr>
                <w:rFonts w:ascii="Times New Roman" w:cs="Times New Roman" w:eastAsia="Times New Roman" w:hAnsi="Times New Roman"/>
                <w:sz w:val="14"/>
                <w:szCs w:val="14"/>
                <w:color w:val="auto"/>
              </w:rPr>
              <w:t>51</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1.11 Rates.........................................................</w:t>
            </w:r>
          </w:p>
        </w:tc>
        <w:tc>
          <w:tcPr>
            <w:tcW w:w="1620" w:type="dxa"/>
            <w:vAlign w:val="bottom"/>
          </w:tcPr>
          <w:p>
            <w:pPr>
              <w:jc w:val="right"/>
              <w:ind w:right="1328"/>
              <w:spacing w:after="0"/>
              <w:rPr>
                <w:sz w:val="20"/>
                <w:szCs w:val="20"/>
                <w:color w:val="auto"/>
              </w:rPr>
            </w:pPr>
            <w:r>
              <w:rPr>
                <w:rFonts w:ascii="Times New Roman" w:cs="Times New Roman" w:eastAsia="Times New Roman" w:hAnsi="Times New Roman"/>
                <w:sz w:val="14"/>
                <w:szCs w:val="14"/>
                <w:color w:val="auto"/>
              </w:rPr>
              <w:t>52</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70"/>
              </w:rPr>
              <w:t>Article 2. THE COMMITMENTS AND CREDIT EXTENSIONS............................................................................................................</w:t>
            </w:r>
          </w:p>
        </w:tc>
        <w:tc>
          <w:tcPr>
            <w:tcW w:w="6380" w:type="dxa"/>
            <w:vAlign w:val="bottom"/>
          </w:tcPr>
          <w:p>
            <w:pPr>
              <w:jc w:val="right"/>
              <w:ind w:right="3369"/>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2.1 The Loans.................................................</w:t>
            </w: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52</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Section 2.2 Letters of Credit........................................</w:t>
            </w:r>
          </w:p>
        </w:tc>
        <w:tc>
          <w:tcPr>
            <w:tcW w:w="1620" w:type="dxa"/>
            <w:vAlign w:val="bottom"/>
          </w:tcPr>
          <w:p>
            <w:pPr>
              <w:jc w:val="right"/>
              <w:ind w:right="1388"/>
              <w:spacing w:after="0" w:line="153" w:lineRule="exact"/>
              <w:rPr>
                <w:sz w:val="20"/>
                <w:szCs w:val="20"/>
                <w:color w:val="auto"/>
              </w:rPr>
            </w:pPr>
            <w:r>
              <w:rPr>
                <w:rFonts w:ascii="Times New Roman" w:cs="Times New Roman" w:eastAsia="Times New Roman" w:hAnsi="Times New Roman"/>
                <w:sz w:val="14"/>
                <w:szCs w:val="14"/>
                <w:color w:val="auto"/>
                <w:w w:val="99"/>
              </w:rPr>
              <w:t>54</w:t>
            </w:r>
          </w:p>
        </w:tc>
        <w:tc>
          <w:tcPr>
            <w:tcW w:w="6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2.3 Swing Line Loans.....................................</w:t>
            </w:r>
          </w:p>
        </w:tc>
        <w:tc>
          <w:tcPr>
            <w:tcW w:w="16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w w:val="99"/>
              </w:rPr>
              <w:t>62</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2.4 Fees...........................................................</w:t>
            </w:r>
          </w:p>
        </w:tc>
        <w:tc>
          <w:tcPr>
            <w:tcW w:w="16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w w:val="99"/>
              </w:rPr>
              <w:t>66</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3"/>
              </w:rPr>
              <w:t>Section 2.5 Payments Generally; Administrative Agent’s Clawback....................................</w:t>
            </w:r>
          </w:p>
        </w:tc>
        <w:tc>
          <w:tcPr>
            <w:tcW w:w="6380" w:type="dxa"/>
            <w:vAlign w:val="bottom"/>
          </w:tcPr>
          <w:p>
            <w:pPr>
              <w:jc w:val="right"/>
              <w:ind w:right="5649"/>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2.6 Evidence of Debt......................................</w:t>
            </w: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68</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2.7 Cash Collateral.........................................</w:t>
            </w: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69</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2.8 Interest; Payment Terms...........................</w:t>
            </w: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70</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89"/>
              </w:rPr>
              <w:t>Section 2.9 Voluntary Termination or Reduction of Commitments; Prepayments.....................</w:t>
            </w:r>
          </w:p>
        </w:tc>
        <w:tc>
          <w:tcPr>
            <w:tcW w:w="6380" w:type="dxa"/>
            <w:vAlign w:val="bottom"/>
          </w:tcPr>
          <w:p>
            <w:pPr>
              <w:jc w:val="right"/>
              <w:ind w:right="5489"/>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62"/>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85"/>
              </w:rPr>
              <w:t>Section 2.10 Uncommitted Increase in Revolving Credit Commitments...........................................</w:t>
            </w:r>
          </w:p>
        </w:tc>
        <w:tc>
          <w:tcPr>
            <w:tcW w:w="6380" w:type="dxa"/>
            <w:vAlign w:val="bottom"/>
          </w:tcPr>
          <w:p>
            <w:pPr>
              <w:jc w:val="right"/>
              <w:ind w:right="5189"/>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2.11 Cash Collateral Blocked Accounts...........</w:t>
            </w:r>
          </w:p>
        </w:tc>
        <w:tc>
          <w:tcPr>
            <w:tcW w:w="1620" w:type="dxa"/>
            <w:vAlign w:val="bottom"/>
          </w:tcPr>
          <w:p>
            <w:pPr>
              <w:jc w:val="right"/>
              <w:ind w:right="1328"/>
              <w:spacing w:after="0"/>
              <w:rPr>
                <w:sz w:val="20"/>
                <w:szCs w:val="20"/>
                <w:color w:val="auto"/>
              </w:rPr>
            </w:pPr>
            <w:r>
              <w:rPr>
                <w:rFonts w:ascii="Times New Roman" w:cs="Times New Roman" w:eastAsia="Times New Roman" w:hAnsi="Times New Roman"/>
                <w:sz w:val="14"/>
                <w:szCs w:val="14"/>
                <w:color w:val="auto"/>
              </w:rPr>
              <w:t>75</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Section 2.12 Collection of Accounts.............................</w:t>
            </w:r>
          </w:p>
        </w:tc>
        <w:tc>
          <w:tcPr>
            <w:tcW w:w="1620" w:type="dxa"/>
            <w:vAlign w:val="bottom"/>
          </w:tcPr>
          <w:p>
            <w:pPr>
              <w:jc w:val="right"/>
              <w:ind w:right="1328"/>
              <w:spacing w:after="0" w:line="153" w:lineRule="exact"/>
              <w:rPr>
                <w:sz w:val="20"/>
                <w:szCs w:val="20"/>
                <w:color w:val="auto"/>
              </w:rPr>
            </w:pPr>
            <w:r>
              <w:rPr>
                <w:rFonts w:ascii="Times New Roman" w:cs="Times New Roman" w:eastAsia="Times New Roman" w:hAnsi="Times New Roman"/>
                <w:sz w:val="14"/>
                <w:szCs w:val="14"/>
                <w:color w:val="auto"/>
              </w:rPr>
              <w:t>75</w:t>
            </w:r>
          </w:p>
        </w:tc>
        <w:tc>
          <w:tcPr>
            <w:tcW w:w="6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Section 2.13 Appointment of Borrower Representative 76</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2.14 Joint and Several Liability........................</w:t>
            </w:r>
          </w:p>
        </w:tc>
        <w:tc>
          <w:tcPr>
            <w:tcW w:w="1620" w:type="dxa"/>
            <w:vAlign w:val="bottom"/>
          </w:tcPr>
          <w:p>
            <w:pPr>
              <w:jc w:val="right"/>
              <w:ind w:right="1328"/>
              <w:spacing w:after="0"/>
              <w:rPr>
                <w:sz w:val="20"/>
                <w:szCs w:val="20"/>
                <w:color w:val="auto"/>
              </w:rPr>
            </w:pPr>
            <w:r>
              <w:rPr>
                <w:rFonts w:ascii="Times New Roman" w:cs="Times New Roman" w:eastAsia="Times New Roman" w:hAnsi="Times New Roman"/>
                <w:sz w:val="14"/>
                <w:szCs w:val="14"/>
                <w:color w:val="auto"/>
              </w:rPr>
              <w:t>77</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2.15 Bank Products...........................................</w:t>
            </w:r>
          </w:p>
        </w:tc>
        <w:tc>
          <w:tcPr>
            <w:tcW w:w="1620" w:type="dxa"/>
            <w:vAlign w:val="bottom"/>
          </w:tcPr>
          <w:p>
            <w:pPr>
              <w:jc w:val="right"/>
              <w:ind w:right="1308"/>
              <w:spacing w:after="0"/>
              <w:rPr>
                <w:sz w:val="20"/>
                <w:szCs w:val="20"/>
                <w:color w:val="auto"/>
              </w:rPr>
            </w:pPr>
            <w:r>
              <w:rPr>
                <w:rFonts w:ascii="Times New Roman" w:cs="Times New Roman" w:eastAsia="Times New Roman" w:hAnsi="Times New Roman"/>
                <w:sz w:val="14"/>
                <w:szCs w:val="14"/>
                <w:color w:val="auto"/>
              </w:rPr>
              <w:t>78</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3. TAXES, YIELD PROTECTION AND INDEMNITY 78</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3.1 Increased Costs.........................................</w:t>
            </w:r>
          </w:p>
        </w:tc>
        <w:tc>
          <w:tcPr>
            <w:tcW w:w="16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w w:val="99"/>
              </w:rPr>
              <w:t>78</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3.2 Illegality....................................................</w:t>
            </w:r>
          </w:p>
        </w:tc>
        <w:tc>
          <w:tcPr>
            <w:tcW w:w="16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w w:val="99"/>
              </w:rPr>
              <w:t>79</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2"/>
              </w:rPr>
              <w:t>Section 3.3 Changed Circumstances; Benchmark Replacement.............................................</w:t>
            </w:r>
          </w:p>
        </w:tc>
        <w:tc>
          <w:tcPr>
            <w:tcW w:w="6380" w:type="dxa"/>
            <w:vAlign w:val="bottom"/>
          </w:tcPr>
          <w:p>
            <w:pPr>
              <w:jc w:val="right"/>
              <w:ind w:right="5609"/>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3.4 Taxes.........................................................</w:t>
            </w:r>
          </w:p>
        </w:tc>
        <w:tc>
          <w:tcPr>
            <w:tcW w:w="16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w w:val="99"/>
              </w:rPr>
              <w:t>82</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3.5 Compensation for Losses.........................</w:t>
            </w: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87</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87"/>
              </w:rPr>
              <w:t>Section 3.6 Mitigation of Obligations; Replacement of Lenders.....................................................</w:t>
            </w:r>
          </w:p>
        </w:tc>
        <w:tc>
          <w:tcPr>
            <w:tcW w:w="6380" w:type="dxa"/>
            <w:vAlign w:val="bottom"/>
          </w:tcPr>
          <w:p>
            <w:pPr>
              <w:jc w:val="right"/>
              <w:ind w:right="5289"/>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53"/>
        </w:trPr>
        <w:tc>
          <w:tcPr>
            <w:tcW w:w="330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Section 3.7 Survival.....................................................</w:t>
            </w:r>
          </w:p>
        </w:tc>
        <w:tc>
          <w:tcPr>
            <w:tcW w:w="1620" w:type="dxa"/>
            <w:vAlign w:val="bottom"/>
          </w:tcPr>
          <w:p>
            <w:pPr>
              <w:jc w:val="right"/>
              <w:ind w:right="1368"/>
              <w:spacing w:after="0" w:line="153" w:lineRule="exact"/>
              <w:rPr>
                <w:sz w:val="20"/>
                <w:szCs w:val="20"/>
                <w:color w:val="auto"/>
              </w:rPr>
            </w:pPr>
            <w:r>
              <w:rPr>
                <w:rFonts w:ascii="Times New Roman" w:cs="Times New Roman" w:eastAsia="Times New Roman" w:hAnsi="Times New Roman"/>
                <w:sz w:val="14"/>
                <w:szCs w:val="14"/>
                <w:color w:val="auto"/>
              </w:rPr>
              <w:t>88</w:t>
            </w:r>
          </w:p>
        </w:tc>
        <w:tc>
          <w:tcPr>
            <w:tcW w:w="6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w w:val="91"/>
              </w:rPr>
              <w:t>Article 4. CONDITIONS PRECEDENT......................................</w:t>
            </w:r>
          </w:p>
        </w:tc>
        <w:tc>
          <w:tcPr>
            <w:tcW w:w="162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rPr>
              <w:t>88</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4.1 Closing Date.............................................</w:t>
            </w: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88</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4.2 All Extensions of Credit...........................</w:t>
            </w: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91</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w w:val="91"/>
              </w:rPr>
              <w:t>Article 5. REPRESENTATIONS AND WARRANTIES............</w:t>
            </w:r>
          </w:p>
        </w:tc>
        <w:tc>
          <w:tcPr>
            <w:tcW w:w="1620" w:type="dxa"/>
            <w:vAlign w:val="bottom"/>
          </w:tcPr>
          <w:p>
            <w:pPr>
              <w:jc w:val="right"/>
              <w:ind w:right="1048"/>
              <w:spacing w:after="0"/>
              <w:rPr>
                <w:sz w:val="20"/>
                <w:szCs w:val="20"/>
                <w:color w:val="auto"/>
              </w:rPr>
            </w:pPr>
            <w:r>
              <w:rPr>
                <w:rFonts w:ascii="Times New Roman" w:cs="Times New Roman" w:eastAsia="Times New Roman" w:hAnsi="Times New Roman"/>
                <w:sz w:val="14"/>
                <w:szCs w:val="14"/>
                <w:color w:val="auto"/>
              </w:rPr>
              <w:t>92</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5.1 Entity Existence........................................</w:t>
            </w:r>
          </w:p>
        </w:tc>
        <w:tc>
          <w:tcPr>
            <w:tcW w:w="16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w w:val="99"/>
              </w:rPr>
              <w:t>92</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5.2 Financial Statements; Etc.........................</w:t>
            </w: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93</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5.3 Action; No Breach....................................</w:t>
            </w:r>
          </w:p>
        </w:tc>
        <w:tc>
          <w:tcPr>
            <w:tcW w:w="16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w w:val="99"/>
              </w:rPr>
              <w:t>93</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5.4 Operation of Business...............................</w:t>
            </w:r>
          </w:p>
        </w:tc>
        <w:tc>
          <w:tcPr>
            <w:tcW w:w="1620" w:type="dxa"/>
            <w:vAlign w:val="bottom"/>
          </w:tcPr>
          <w:p>
            <w:pPr>
              <w:jc w:val="right"/>
              <w:ind w:right="1368"/>
              <w:spacing w:after="0"/>
              <w:rPr>
                <w:sz w:val="20"/>
                <w:szCs w:val="20"/>
                <w:color w:val="auto"/>
              </w:rPr>
            </w:pPr>
            <w:r>
              <w:rPr>
                <w:rFonts w:ascii="Times New Roman" w:cs="Times New Roman" w:eastAsia="Times New Roman" w:hAnsi="Times New Roman"/>
                <w:sz w:val="14"/>
                <w:szCs w:val="14"/>
                <w:color w:val="auto"/>
              </w:rPr>
              <w:t>93</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5.5 Litigation and Judgments.........................</w:t>
            </w: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93</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5.6 Rights in Properties; Liens.......................</w:t>
            </w: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94</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Section 5.7 Enforceability...........................................</w:t>
            </w:r>
          </w:p>
        </w:tc>
        <w:tc>
          <w:tcPr>
            <w:tcW w:w="16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94</w:t>
            </w:r>
          </w:p>
        </w:tc>
        <w:tc>
          <w:tcPr>
            <w:tcW w:w="6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5.8 Approvals.................................................</w:t>
            </w:r>
          </w:p>
        </w:tc>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95</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5.9 Taxes.........................................................</w:t>
            </w:r>
          </w:p>
        </w:tc>
        <w:tc>
          <w:tcPr>
            <w:tcW w:w="1620" w:type="dxa"/>
            <w:vAlign w:val="bottom"/>
          </w:tcPr>
          <w:p>
            <w:pPr>
              <w:jc w:val="right"/>
              <w:ind w:right="1388"/>
              <w:spacing w:after="0"/>
              <w:rPr>
                <w:sz w:val="20"/>
                <w:szCs w:val="20"/>
                <w:color w:val="auto"/>
              </w:rPr>
            </w:pPr>
            <w:r>
              <w:rPr>
                <w:rFonts w:ascii="Times New Roman" w:cs="Times New Roman" w:eastAsia="Times New Roman" w:hAnsi="Times New Roman"/>
                <w:sz w:val="14"/>
                <w:szCs w:val="14"/>
                <w:color w:val="auto"/>
                <w:w w:val="99"/>
              </w:rPr>
              <w:t>95</w:t>
            </w:r>
          </w:p>
        </w:tc>
        <w:tc>
          <w:tcPr>
            <w:tcW w:w="6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0"/>
        </w:trPr>
        <w:tc>
          <w:tcPr>
            <w:tcW w:w="3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380" w:type="dxa"/>
            <w:vAlign w:val="bottom"/>
          </w:tcPr>
          <w:p>
            <w:pPr>
              <w:jc w:val="right"/>
              <w:ind w:right="5509"/>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bl>
    <w:p>
      <w:pPr>
        <w:sectPr>
          <w:pgSz w:w="11900" w:h="16838" w:orient="portrait"/>
          <w:cols w:equalWidth="0" w:num="1">
            <w:col w:w="11300"/>
          </w:cols>
          <w:pgMar w:left="300" w:top="287" w:right="29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Section 5.10 Use of Proceeds; Margin Securities.........</w:t>
            </w:r>
          </w:p>
        </w:tc>
        <w:tc>
          <w:tcPr>
            <w:tcW w:w="2060" w:type="dxa"/>
            <w:vAlign w:val="bottom"/>
          </w:tcPr>
          <w:p>
            <w:pPr>
              <w:jc w:val="right"/>
              <w:ind w:right="1688"/>
              <w:spacing w:after="0"/>
              <w:rPr>
                <w:sz w:val="20"/>
                <w:szCs w:val="20"/>
                <w:color w:val="auto"/>
              </w:rPr>
            </w:pPr>
            <w:r>
              <w:rPr>
                <w:rFonts w:ascii="Times New Roman" w:cs="Times New Roman" w:eastAsia="Times New Roman" w:hAnsi="Times New Roman"/>
                <w:sz w:val="14"/>
                <w:szCs w:val="14"/>
                <w:color w:val="auto"/>
              </w:rPr>
              <w:t>95</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7"/>
              </w:rPr>
              <w:t>Section 5.11 ERISA.......................................................</w:t>
            </w:r>
          </w:p>
        </w:tc>
        <w:tc>
          <w:tcPr>
            <w:tcW w:w="2060" w:type="dxa"/>
            <w:vAlign w:val="bottom"/>
          </w:tcPr>
          <w:p>
            <w:pPr>
              <w:jc w:val="right"/>
              <w:ind w:right="1648"/>
              <w:spacing w:after="0"/>
              <w:rPr>
                <w:sz w:val="20"/>
                <w:szCs w:val="20"/>
                <w:color w:val="auto"/>
              </w:rPr>
            </w:pPr>
            <w:r>
              <w:rPr>
                <w:rFonts w:ascii="Times New Roman" w:cs="Times New Roman" w:eastAsia="Times New Roman" w:hAnsi="Times New Roman"/>
                <w:sz w:val="14"/>
                <w:szCs w:val="14"/>
                <w:color w:val="auto"/>
              </w:rPr>
              <w:t>95</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7"/>
              </w:rPr>
              <w:t>Section 5.12 Disclosure.................................................</w:t>
            </w:r>
          </w:p>
        </w:tc>
        <w:tc>
          <w:tcPr>
            <w:tcW w:w="2060" w:type="dxa"/>
            <w:vAlign w:val="bottom"/>
          </w:tcPr>
          <w:p>
            <w:pPr>
              <w:jc w:val="right"/>
              <w:ind w:right="1668"/>
              <w:spacing w:after="0"/>
              <w:rPr>
                <w:sz w:val="20"/>
                <w:szCs w:val="20"/>
                <w:color w:val="auto"/>
              </w:rPr>
            </w:pPr>
            <w:r>
              <w:rPr>
                <w:rFonts w:ascii="Times New Roman" w:cs="Times New Roman" w:eastAsia="Times New Roman" w:hAnsi="Times New Roman"/>
                <w:sz w:val="14"/>
                <w:szCs w:val="14"/>
                <w:color w:val="auto"/>
              </w:rPr>
              <w:t>96</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7"/>
              </w:rPr>
              <w:t>Section 5.13 Subsidiaries...............................................</w:t>
            </w:r>
          </w:p>
        </w:tc>
        <w:tc>
          <w:tcPr>
            <w:tcW w:w="2060" w:type="dxa"/>
            <w:vAlign w:val="bottom"/>
          </w:tcPr>
          <w:p>
            <w:pPr>
              <w:jc w:val="right"/>
              <w:ind w:right="1648"/>
              <w:spacing w:after="0"/>
              <w:rPr>
                <w:sz w:val="20"/>
                <w:szCs w:val="20"/>
                <w:color w:val="auto"/>
              </w:rPr>
            </w:pPr>
            <w:r>
              <w:rPr>
                <w:rFonts w:ascii="Times New Roman" w:cs="Times New Roman" w:eastAsia="Times New Roman" w:hAnsi="Times New Roman"/>
                <w:sz w:val="14"/>
                <w:szCs w:val="14"/>
                <w:color w:val="auto"/>
              </w:rPr>
              <w:t>96</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7"/>
              </w:rPr>
              <w:t>Section 5.14 Agreements...............................................</w:t>
            </w:r>
          </w:p>
        </w:tc>
        <w:tc>
          <w:tcPr>
            <w:tcW w:w="2060" w:type="dxa"/>
            <w:vAlign w:val="bottom"/>
          </w:tcPr>
          <w:p>
            <w:pPr>
              <w:jc w:val="right"/>
              <w:ind w:right="1648"/>
              <w:spacing w:after="0"/>
              <w:rPr>
                <w:sz w:val="20"/>
                <w:szCs w:val="20"/>
                <w:color w:val="auto"/>
              </w:rPr>
            </w:pPr>
            <w:r>
              <w:rPr>
                <w:rFonts w:ascii="Times New Roman" w:cs="Times New Roman" w:eastAsia="Times New Roman" w:hAnsi="Times New Roman"/>
                <w:sz w:val="14"/>
                <w:szCs w:val="14"/>
                <w:color w:val="auto"/>
              </w:rPr>
              <w:t>96</w:t>
            </w:r>
          </w:p>
        </w:tc>
        <w:tc>
          <w:tcPr>
            <w:tcW w:w="640" w:type="dxa"/>
            <w:vAlign w:val="bottom"/>
          </w:tcPr>
          <w:p>
            <w:pPr>
              <w:spacing w:after="0"/>
              <w:rPr>
                <w:sz w:val="14"/>
                <w:szCs w:val="14"/>
                <w:color w:val="auto"/>
              </w:rPr>
            </w:pPr>
          </w:p>
        </w:tc>
      </w:tr>
      <w:tr>
        <w:trPr>
          <w:trHeight w:val="153"/>
        </w:trPr>
        <w:tc>
          <w:tcPr>
            <w:tcW w:w="320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w w:val="97"/>
              </w:rPr>
              <w:t>Section 5.15 Compliance with Laws.............................</w:t>
            </w:r>
          </w:p>
        </w:tc>
        <w:tc>
          <w:tcPr>
            <w:tcW w:w="2060" w:type="dxa"/>
            <w:vAlign w:val="bottom"/>
          </w:tcPr>
          <w:p>
            <w:pPr>
              <w:jc w:val="right"/>
              <w:ind w:right="1668"/>
              <w:spacing w:after="0" w:line="153" w:lineRule="exact"/>
              <w:rPr>
                <w:sz w:val="20"/>
                <w:szCs w:val="20"/>
                <w:color w:val="auto"/>
              </w:rPr>
            </w:pPr>
            <w:r>
              <w:rPr>
                <w:rFonts w:ascii="Times New Roman" w:cs="Times New Roman" w:eastAsia="Times New Roman" w:hAnsi="Times New Roman"/>
                <w:sz w:val="14"/>
                <w:szCs w:val="14"/>
                <w:color w:val="auto"/>
              </w:rPr>
              <w:t>97</w:t>
            </w:r>
          </w:p>
        </w:tc>
        <w:tc>
          <w:tcPr>
            <w:tcW w:w="640" w:type="dxa"/>
            <w:vAlign w:val="bottom"/>
          </w:tcPr>
          <w:p>
            <w:pPr>
              <w:spacing w:after="0"/>
              <w:rPr>
                <w:sz w:val="13"/>
                <w:szCs w:val="13"/>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7"/>
              </w:rPr>
              <w:t>Section 5.16 Inventory...................................................</w:t>
            </w:r>
          </w:p>
        </w:tc>
        <w:tc>
          <w:tcPr>
            <w:tcW w:w="2060" w:type="dxa"/>
            <w:vAlign w:val="bottom"/>
          </w:tcPr>
          <w:p>
            <w:pPr>
              <w:jc w:val="right"/>
              <w:ind w:right="1648"/>
              <w:spacing w:after="0"/>
              <w:rPr>
                <w:sz w:val="20"/>
                <w:szCs w:val="20"/>
                <w:color w:val="auto"/>
              </w:rPr>
            </w:pPr>
            <w:r>
              <w:rPr>
                <w:rFonts w:ascii="Times New Roman" w:cs="Times New Roman" w:eastAsia="Times New Roman" w:hAnsi="Times New Roman"/>
                <w:sz w:val="14"/>
                <w:szCs w:val="14"/>
                <w:color w:val="auto"/>
              </w:rPr>
              <w:t>97</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7"/>
              </w:rPr>
              <w:t>Section 5.17 Regulated Entities.....................................</w:t>
            </w:r>
          </w:p>
        </w:tc>
        <w:tc>
          <w:tcPr>
            <w:tcW w:w="2060" w:type="dxa"/>
            <w:vAlign w:val="bottom"/>
          </w:tcPr>
          <w:p>
            <w:pPr>
              <w:jc w:val="right"/>
              <w:ind w:right="1648"/>
              <w:spacing w:after="0"/>
              <w:rPr>
                <w:sz w:val="20"/>
                <w:szCs w:val="20"/>
                <w:color w:val="auto"/>
              </w:rPr>
            </w:pPr>
            <w:r>
              <w:rPr>
                <w:rFonts w:ascii="Times New Roman" w:cs="Times New Roman" w:eastAsia="Times New Roman" w:hAnsi="Times New Roman"/>
                <w:sz w:val="14"/>
                <w:szCs w:val="14"/>
                <w:color w:val="auto"/>
              </w:rPr>
              <w:t>97</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7"/>
              </w:rPr>
              <w:t>Section 5.18 Environmental Matters.............................</w:t>
            </w:r>
          </w:p>
        </w:tc>
        <w:tc>
          <w:tcPr>
            <w:tcW w:w="2060" w:type="dxa"/>
            <w:vAlign w:val="bottom"/>
          </w:tcPr>
          <w:p>
            <w:pPr>
              <w:jc w:val="right"/>
              <w:ind w:right="1668"/>
              <w:spacing w:after="0"/>
              <w:rPr>
                <w:sz w:val="20"/>
                <w:szCs w:val="20"/>
                <w:color w:val="auto"/>
              </w:rPr>
            </w:pPr>
            <w:r>
              <w:rPr>
                <w:rFonts w:ascii="Times New Roman" w:cs="Times New Roman" w:eastAsia="Times New Roman" w:hAnsi="Times New Roman"/>
                <w:sz w:val="14"/>
                <w:szCs w:val="14"/>
                <w:color w:val="auto"/>
              </w:rPr>
              <w:t>97</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Section 5.19 Intellectual Property.................................</w:t>
            </w:r>
          </w:p>
        </w:tc>
        <w:tc>
          <w:tcPr>
            <w:tcW w:w="2060" w:type="dxa"/>
            <w:vAlign w:val="bottom"/>
          </w:tcPr>
          <w:p>
            <w:pPr>
              <w:jc w:val="right"/>
              <w:ind w:right="1688"/>
              <w:spacing w:after="0"/>
              <w:rPr>
                <w:sz w:val="20"/>
                <w:szCs w:val="20"/>
                <w:color w:val="auto"/>
              </w:rPr>
            </w:pPr>
            <w:r>
              <w:rPr>
                <w:rFonts w:ascii="Times New Roman" w:cs="Times New Roman" w:eastAsia="Times New Roman" w:hAnsi="Times New Roman"/>
                <w:sz w:val="14"/>
                <w:szCs w:val="14"/>
                <w:color w:val="auto"/>
              </w:rPr>
              <w:t>98</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Section 5.20 Anti-Corruption Laws; Sanctions; Etc.....</w:t>
            </w:r>
          </w:p>
        </w:tc>
        <w:tc>
          <w:tcPr>
            <w:tcW w:w="2060" w:type="dxa"/>
            <w:vAlign w:val="bottom"/>
          </w:tcPr>
          <w:p>
            <w:pPr>
              <w:jc w:val="right"/>
              <w:ind w:right="1668"/>
              <w:spacing w:after="0"/>
              <w:rPr>
                <w:sz w:val="20"/>
                <w:szCs w:val="20"/>
                <w:color w:val="auto"/>
              </w:rPr>
            </w:pPr>
            <w:r>
              <w:rPr>
                <w:rFonts w:ascii="Times New Roman" w:cs="Times New Roman" w:eastAsia="Times New Roman" w:hAnsi="Times New Roman"/>
                <w:sz w:val="14"/>
                <w:szCs w:val="14"/>
                <w:color w:val="auto"/>
              </w:rPr>
              <w:t>98</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7"/>
              </w:rPr>
              <w:t>Section 5.21 Patriot Act.................................................</w:t>
            </w:r>
          </w:p>
        </w:tc>
        <w:tc>
          <w:tcPr>
            <w:tcW w:w="2060" w:type="dxa"/>
            <w:vAlign w:val="bottom"/>
          </w:tcPr>
          <w:p>
            <w:pPr>
              <w:jc w:val="right"/>
              <w:ind w:right="1648"/>
              <w:spacing w:after="0"/>
              <w:rPr>
                <w:sz w:val="20"/>
                <w:szCs w:val="20"/>
                <w:color w:val="auto"/>
              </w:rPr>
            </w:pPr>
            <w:r>
              <w:rPr>
                <w:rFonts w:ascii="Times New Roman" w:cs="Times New Roman" w:eastAsia="Times New Roman" w:hAnsi="Times New Roman"/>
                <w:sz w:val="14"/>
                <w:szCs w:val="14"/>
                <w:color w:val="auto"/>
              </w:rPr>
              <w:t>98</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7"/>
              </w:rPr>
              <w:t>Section 5.22 Insurance...................................................</w:t>
            </w:r>
          </w:p>
        </w:tc>
        <w:tc>
          <w:tcPr>
            <w:tcW w:w="2060" w:type="dxa"/>
            <w:vAlign w:val="bottom"/>
          </w:tcPr>
          <w:p>
            <w:pPr>
              <w:jc w:val="right"/>
              <w:ind w:right="1648"/>
              <w:spacing w:after="0"/>
              <w:rPr>
                <w:sz w:val="20"/>
                <w:szCs w:val="20"/>
                <w:color w:val="auto"/>
              </w:rPr>
            </w:pPr>
            <w:r>
              <w:rPr>
                <w:rFonts w:ascii="Times New Roman" w:cs="Times New Roman" w:eastAsia="Times New Roman" w:hAnsi="Times New Roman"/>
                <w:sz w:val="14"/>
                <w:szCs w:val="14"/>
                <w:color w:val="auto"/>
              </w:rPr>
              <w:t>99</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7"/>
              </w:rPr>
              <w:t>Section 5.23 Solvency...................................................</w:t>
            </w:r>
          </w:p>
        </w:tc>
        <w:tc>
          <w:tcPr>
            <w:tcW w:w="2060" w:type="dxa"/>
            <w:vAlign w:val="bottom"/>
          </w:tcPr>
          <w:p>
            <w:pPr>
              <w:jc w:val="right"/>
              <w:ind w:right="1668"/>
              <w:spacing w:after="0"/>
              <w:rPr>
                <w:sz w:val="20"/>
                <w:szCs w:val="20"/>
                <w:color w:val="auto"/>
              </w:rPr>
            </w:pPr>
            <w:r>
              <w:rPr>
                <w:rFonts w:ascii="Times New Roman" w:cs="Times New Roman" w:eastAsia="Times New Roman" w:hAnsi="Times New Roman"/>
                <w:sz w:val="14"/>
                <w:szCs w:val="14"/>
                <w:color w:val="auto"/>
              </w:rPr>
              <w:t>99</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Section 5.24 Security Documents.................................</w:t>
            </w:r>
          </w:p>
        </w:tc>
        <w:tc>
          <w:tcPr>
            <w:tcW w:w="2060" w:type="dxa"/>
            <w:vAlign w:val="bottom"/>
          </w:tcPr>
          <w:p>
            <w:pPr>
              <w:jc w:val="right"/>
              <w:ind w:right="1688"/>
              <w:spacing w:after="0"/>
              <w:rPr>
                <w:sz w:val="20"/>
                <w:szCs w:val="20"/>
                <w:color w:val="auto"/>
              </w:rPr>
            </w:pPr>
            <w:r>
              <w:rPr>
                <w:rFonts w:ascii="Times New Roman" w:cs="Times New Roman" w:eastAsia="Times New Roman" w:hAnsi="Times New Roman"/>
                <w:sz w:val="14"/>
                <w:szCs w:val="14"/>
                <w:color w:val="auto"/>
              </w:rPr>
              <w:t>99</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Section 5.25 Labor Matters...........................................</w:t>
            </w:r>
          </w:p>
        </w:tc>
        <w:tc>
          <w:tcPr>
            <w:tcW w:w="2060" w:type="dxa"/>
            <w:vAlign w:val="bottom"/>
          </w:tcPr>
          <w:p>
            <w:pPr>
              <w:jc w:val="right"/>
              <w:ind w:right="1668"/>
              <w:spacing w:after="0"/>
              <w:rPr>
                <w:sz w:val="20"/>
                <w:szCs w:val="20"/>
                <w:color w:val="auto"/>
              </w:rPr>
            </w:pPr>
            <w:r>
              <w:rPr>
                <w:rFonts w:ascii="Times New Roman" w:cs="Times New Roman" w:eastAsia="Times New Roman" w:hAnsi="Times New Roman"/>
                <w:sz w:val="14"/>
                <w:szCs w:val="14"/>
                <w:color w:val="auto"/>
              </w:rPr>
              <w:t>99</w:t>
            </w:r>
          </w:p>
        </w:tc>
        <w:tc>
          <w:tcPr>
            <w:tcW w:w="640" w:type="dxa"/>
            <w:vAlign w:val="bottom"/>
          </w:tcPr>
          <w:p>
            <w:pPr>
              <w:spacing w:after="0"/>
              <w:rPr>
                <w:sz w:val="14"/>
                <w:szCs w:val="14"/>
                <w:color w:val="auto"/>
              </w:rPr>
            </w:pPr>
          </w:p>
        </w:tc>
      </w:tr>
      <w:tr>
        <w:trPr>
          <w:trHeight w:val="153"/>
        </w:trPr>
        <w:tc>
          <w:tcPr>
            <w:tcW w:w="320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w w:val="97"/>
              </w:rPr>
              <w:t>Section 5.26 Material Agreements................................</w:t>
            </w:r>
          </w:p>
        </w:tc>
        <w:tc>
          <w:tcPr>
            <w:tcW w:w="2060" w:type="dxa"/>
            <w:vAlign w:val="bottom"/>
          </w:tcPr>
          <w:p>
            <w:pPr>
              <w:jc w:val="right"/>
              <w:ind w:right="1668"/>
              <w:spacing w:after="0" w:line="153" w:lineRule="exact"/>
              <w:rPr>
                <w:sz w:val="20"/>
                <w:szCs w:val="20"/>
                <w:color w:val="auto"/>
              </w:rPr>
            </w:pPr>
            <w:r>
              <w:rPr>
                <w:rFonts w:ascii="Times New Roman" w:cs="Times New Roman" w:eastAsia="Times New Roman" w:hAnsi="Times New Roman"/>
                <w:sz w:val="14"/>
                <w:szCs w:val="14"/>
                <w:color w:val="auto"/>
              </w:rPr>
              <w:t>99</w:t>
            </w:r>
          </w:p>
        </w:tc>
        <w:tc>
          <w:tcPr>
            <w:tcW w:w="640" w:type="dxa"/>
            <w:vAlign w:val="bottom"/>
          </w:tcPr>
          <w:p>
            <w:pPr>
              <w:spacing w:after="0"/>
              <w:rPr>
                <w:sz w:val="13"/>
                <w:szCs w:val="13"/>
                <w:color w:val="auto"/>
              </w:rPr>
            </w:pPr>
          </w:p>
        </w:tc>
      </w:tr>
      <w:tr>
        <w:trPr>
          <w:trHeight w:val="162"/>
        </w:trPr>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Section 5.27 Additional Representations of Guarantors 99</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5.28 Qualified ECP Guarantor.......................</w:t>
            </w:r>
          </w:p>
        </w:tc>
        <w:tc>
          <w:tcPr>
            <w:tcW w:w="2060" w:type="dxa"/>
            <w:vAlign w:val="bottom"/>
          </w:tcPr>
          <w:p>
            <w:pPr>
              <w:jc w:val="right"/>
              <w:ind w:right="1688"/>
              <w:spacing w:after="0"/>
              <w:rPr>
                <w:sz w:val="20"/>
                <w:szCs w:val="20"/>
                <w:color w:val="auto"/>
              </w:rPr>
            </w:pPr>
            <w:r>
              <w:rPr>
                <w:rFonts w:ascii="Times New Roman" w:cs="Times New Roman" w:eastAsia="Times New Roman" w:hAnsi="Times New Roman"/>
                <w:sz w:val="14"/>
                <w:szCs w:val="14"/>
                <w:color w:val="auto"/>
              </w:rPr>
              <w:t>100</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5.29 Plan Assets; Prohibited Transactions.....</w:t>
            </w:r>
          </w:p>
        </w:tc>
        <w:tc>
          <w:tcPr>
            <w:tcW w:w="2060" w:type="dxa"/>
            <w:vAlign w:val="bottom"/>
          </w:tcPr>
          <w:p>
            <w:pPr>
              <w:jc w:val="right"/>
              <w:ind w:right="1668"/>
              <w:spacing w:after="0"/>
              <w:rPr>
                <w:sz w:val="20"/>
                <w:szCs w:val="20"/>
                <w:color w:val="auto"/>
              </w:rPr>
            </w:pPr>
            <w:r>
              <w:rPr>
                <w:rFonts w:ascii="Times New Roman" w:cs="Times New Roman" w:eastAsia="Times New Roman" w:hAnsi="Times New Roman"/>
                <w:sz w:val="14"/>
                <w:szCs w:val="14"/>
                <w:color w:val="auto"/>
              </w:rPr>
              <w:t>100</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5.30 Outbound Investment Rules...................</w:t>
            </w:r>
          </w:p>
        </w:tc>
        <w:tc>
          <w:tcPr>
            <w:tcW w:w="2060" w:type="dxa"/>
            <w:vAlign w:val="bottom"/>
          </w:tcPr>
          <w:p>
            <w:pPr>
              <w:jc w:val="right"/>
              <w:ind w:right="1668"/>
              <w:spacing w:after="0"/>
              <w:rPr>
                <w:sz w:val="20"/>
                <w:szCs w:val="20"/>
                <w:color w:val="auto"/>
              </w:rPr>
            </w:pPr>
            <w:r>
              <w:rPr>
                <w:rFonts w:ascii="Times New Roman" w:cs="Times New Roman" w:eastAsia="Times New Roman" w:hAnsi="Times New Roman"/>
                <w:sz w:val="14"/>
                <w:szCs w:val="14"/>
                <w:color w:val="auto"/>
              </w:rPr>
              <w:t>100</w:t>
            </w:r>
          </w:p>
        </w:tc>
        <w:tc>
          <w:tcPr>
            <w:tcW w:w="640" w:type="dxa"/>
            <w:vAlign w:val="bottom"/>
          </w:tcPr>
          <w:p>
            <w:pPr>
              <w:spacing w:after="0"/>
              <w:rPr>
                <w:sz w:val="14"/>
                <w:szCs w:val="14"/>
                <w:color w:val="auto"/>
              </w:rPr>
            </w:pPr>
          </w:p>
        </w:tc>
      </w:tr>
      <w:tr>
        <w:trPr>
          <w:trHeight w:val="16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w w:val="90"/>
              </w:rPr>
              <w:t>Article 6. AFFIRMATIVE COVENANTS................................</w:t>
            </w:r>
          </w:p>
        </w:tc>
        <w:tc>
          <w:tcPr>
            <w:tcW w:w="2060" w:type="dxa"/>
            <w:vAlign w:val="bottom"/>
          </w:tcPr>
          <w:p>
            <w:pPr>
              <w:jc w:val="right"/>
              <w:ind w:right="1348"/>
              <w:spacing w:after="0"/>
              <w:rPr>
                <w:sz w:val="20"/>
                <w:szCs w:val="20"/>
                <w:color w:val="auto"/>
              </w:rPr>
            </w:pPr>
            <w:r>
              <w:rPr>
                <w:rFonts w:ascii="Times New Roman" w:cs="Times New Roman" w:eastAsia="Times New Roman" w:hAnsi="Times New Roman"/>
                <w:sz w:val="14"/>
                <w:szCs w:val="14"/>
                <w:color w:val="auto"/>
              </w:rPr>
              <w:t>100</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6.1 Reporting Requirements.........................</w:t>
            </w:r>
          </w:p>
        </w:tc>
        <w:tc>
          <w:tcPr>
            <w:tcW w:w="2060" w:type="dxa"/>
            <w:vAlign w:val="bottom"/>
          </w:tcPr>
          <w:p>
            <w:pPr>
              <w:jc w:val="right"/>
              <w:ind w:right="1728"/>
              <w:spacing w:after="0"/>
              <w:rPr>
                <w:sz w:val="20"/>
                <w:szCs w:val="20"/>
                <w:color w:val="auto"/>
              </w:rPr>
            </w:pPr>
            <w:r>
              <w:rPr>
                <w:rFonts w:ascii="Times New Roman" w:cs="Times New Roman" w:eastAsia="Times New Roman" w:hAnsi="Times New Roman"/>
                <w:sz w:val="14"/>
                <w:szCs w:val="14"/>
                <w:color w:val="auto"/>
              </w:rPr>
              <w:t>100</w:t>
            </w:r>
          </w:p>
        </w:tc>
        <w:tc>
          <w:tcPr>
            <w:tcW w:w="640" w:type="dxa"/>
            <w:vAlign w:val="bottom"/>
          </w:tcPr>
          <w:p>
            <w:pPr>
              <w:spacing w:after="0"/>
              <w:rPr>
                <w:sz w:val="14"/>
                <w:szCs w:val="14"/>
                <w:color w:val="auto"/>
              </w:rPr>
            </w:pPr>
          </w:p>
        </w:tc>
      </w:tr>
      <w:tr>
        <w:trPr>
          <w:trHeight w:val="162"/>
        </w:trPr>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8"/>
              </w:rPr>
              <w:t>Section 6.2 Maintenance of Existence; Conduct of Business..................................................</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104</w:t>
            </w: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6.3 Maintenance of Properties......................</w:t>
            </w:r>
          </w:p>
        </w:tc>
        <w:tc>
          <w:tcPr>
            <w:tcW w:w="2060" w:type="dxa"/>
            <w:vAlign w:val="bottom"/>
          </w:tcPr>
          <w:p>
            <w:pPr>
              <w:jc w:val="right"/>
              <w:ind w:right="1728"/>
              <w:spacing w:after="0"/>
              <w:rPr>
                <w:sz w:val="20"/>
                <w:szCs w:val="20"/>
                <w:color w:val="auto"/>
              </w:rPr>
            </w:pPr>
            <w:r>
              <w:rPr>
                <w:rFonts w:ascii="Times New Roman" w:cs="Times New Roman" w:eastAsia="Times New Roman" w:hAnsi="Times New Roman"/>
                <w:sz w:val="14"/>
                <w:szCs w:val="14"/>
                <w:color w:val="auto"/>
              </w:rPr>
              <w:t>105</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6.4 Taxes and Claims...................................</w:t>
            </w:r>
          </w:p>
        </w:tc>
        <w:tc>
          <w:tcPr>
            <w:tcW w:w="2060" w:type="dxa"/>
            <w:vAlign w:val="bottom"/>
          </w:tcPr>
          <w:p>
            <w:pPr>
              <w:jc w:val="right"/>
              <w:ind w:right="1768"/>
              <w:spacing w:after="0"/>
              <w:rPr>
                <w:sz w:val="20"/>
                <w:szCs w:val="20"/>
                <w:color w:val="auto"/>
              </w:rPr>
            </w:pPr>
            <w:r>
              <w:rPr>
                <w:rFonts w:ascii="Times New Roman" w:cs="Times New Roman" w:eastAsia="Times New Roman" w:hAnsi="Times New Roman"/>
                <w:sz w:val="14"/>
                <w:szCs w:val="14"/>
                <w:color w:val="auto"/>
                <w:w w:val="95"/>
              </w:rPr>
              <w:t>105</w:t>
            </w:r>
          </w:p>
        </w:tc>
        <w:tc>
          <w:tcPr>
            <w:tcW w:w="640" w:type="dxa"/>
            <w:vAlign w:val="bottom"/>
          </w:tcPr>
          <w:p>
            <w:pPr>
              <w:spacing w:after="0"/>
              <w:rPr>
                <w:sz w:val="14"/>
                <w:szCs w:val="14"/>
                <w:color w:val="auto"/>
              </w:rPr>
            </w:pPr>
          </w:p>
        </w:tc>
      </w:tr>
      <w:tr>
        <w:trPr>
          <w:trHeight w:val="153"/>
        </w:trPr>
        <w:tc>
          <w:tcPr>
            <w:tcW w:w="320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Section 6.5 Insurance.................................................</w:t>
            </w:r>
          </w:p>
        </w:tc>
        <w:tc>
          <w:tcPr>
            <w:tcW w:w="2060" w:type="dxa"/>
            <w:vAlign w:val="bottom"/>
          </w:tcPr>
          <w:p>
            <w:pPr>
              <w:jc w:val="right"/>
              <w:ind w:right="1708"/>
              <w:spacing w:after="0" w:line="153" w:lineRule="exact"/>
              <w:rPr>
                <w:sz w:val="20"/>
                <w:szCs w:val="20"/>
                <w:color w:val="auto"/>
              </w:rPr>
            </w:pPr>
            <w:r>
              <w:rPr>
                <w:rFonts w:ascii="Times New Roman" w:cs="Times New Roman" w:eastAsia="Times New Roman" w:hAnsi="Times New Roman"/>
                <w:sz w:val="14"/>
                <w:szCs w:val="14"/>
                <w:color w:val="auto"/>
              </w:rPr>
              <w:t>105</w:t>
            </w:r>
          </w:p>
        </w:tc>
        <w:tc>
          <w:tcPr>
            <w:tcW w:w="640" w:type="dxa"/>
            <w:vAlign w:val="bottom"/>
          </w:tcPr>
          <w:p>
            <w:pPr>
              <w:spacing w:after="0"/>
              <w:rPr>
                <w:sz w:val="13"/>
                <w:szCs w:val="13"/>
                <w:color w:val="auto"/>
              </w:rPr>
            </w:pPr>
          </w:p>
        </w:tc>
      </w:tr>
      <w:tr>
        <w:trPr>
          <w:trHeight w:val="162"/>
        </w:trPr>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Section 6.6 Inspection Rights; Third-Party Field Examinations; Third-Party Appraisals...</w:t>
            </w:r>
          </w:p>
        </w:tc>
        <w:tc>
          <w:tcPr>
            <w:tcW w:w="6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105</w:t>
            </w: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6.7 Keeping Books and Records..................</w:t>
            </w:r>
          </w:p>
        </w:tc>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6.8 Compliance with Laws...........................</w:t>
            </w:r>
          </w:p>
        </w:tc>
        <w:tc>
          <w:tcPr>
            <w:tcW w:w="2060" w:type="dxa"/>
            <w:vAlign w:val="bottom"/>
          </w:tcPr>
          <w:p>
            <w:pPr>
              <w:jc w:val="right"/>
              <w:ind w:right="1728"/>
              <w:spacing w:after="0"/>
              <w:rPr>
                <w:sz w:val="20"/>
                <w:szCs w:val="20"/>
                <w:color w:val="auto"/>
              </w:rPr>
            </w:pPr>
            <w:r>
              <w:rPr>
                <w:rFonts w:ascii="Times New Roman" w:cs="Times New Roman" w:eastAsia="Times New Roman" w:hAnsi="Times New Roman"/>
                <w:sz w:val="14"/>
                <w:szCs w:val="14"/>
                <w:color w:val="auto"/>
              </w:rPr>
              <w:t>107</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6.9 Compliance with Agreements................</w:t>
            </w:r>
          </w:p>
        </w:tc>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6.10 Further Assurances.................................</w:t>
            </w:r>
          </w:p>
        </w:tc>
        <w:tc>
          <w:tcPr>
            <w:tcW w:w="2060" w:type="dxa"/>
            <w:vAlign w:val="bottom"/>
          </w:tcPr>
          <w:p>
            <w:pPr>
              <w:jc w:val="right"/>
              <w:ind w:right="1668"/>
              <w:spacing w:after="0"/>
              <w:rPr>
                <w:sz w:val="20"/>
                <w:szCs w:val="20"/>
                <w:color w:val="auto"/>
              </w:rPr>
            </w:pPr>
            <w:r>
              <w:rPr>
                <w:rFonts w:ascii="Times New Roman" w:cs="Times New Roman" w:eastAsia="Times New Roman" w:hAnsi="Times New Roman"/>
                <w:sz w:val="14"/>
                <w:szCs w:val="14"/>
                <w:color w:val="auto"/>
              </w:rPr>
              <w:t>107</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Section 6.11 ERISA.....................................................</w:t>
            </w:r>
          </w:p>
        </w:tc>
        <w:tc>
          <w:tcPr>
            <w:tcW w:w="2060" w:type="dxa"/>
            <w:vAlign w:val="bottom"/>
          </w:tcPr>
          <w:p>
            <w:pPr>
              <w:jc w:val="right"/>
              <w:ind w:right="1648"/>
              <w:spacing w:after="0"/>
              <w:rPr>
                <w:sz w:val="20"/>
                <w:szCs w:val="20"/>
                <w:color w:val="auto"/>
              </w:rPr>
            </w:pPr>
            <w:r>
              <w:rPr>
                <w:rFonts w:ascii="Times New Roman" w:cs="Times New Roman" w:eastAsia="Times New Roman" w:hAnsi="Times New Roman"/>
                <w:sz w:val="14"/>
                <w:szCs w:val="14"/>
                <w:color w:val="auto"/>
              </w:rPr>
              <w:t>107</w:t>
            </w:r>
          </w:p>
        </w:tc>
        <w:tc>
          <w:tcPr>
            <w:tcW w:w="640" w:type="dxa"/>
            <w:vAlign w:val="bottom"/>
          </w:tcPr>
          <w:p>
            <w:pPr>
              <w:spacing w:after="0"/>
              <w:rPr>
                <w:sz w:val="14"/>
                <w:szCs w:val="14"/>
                <w:color w:val="auto"/>
              </w:rPr>
            </w:pPr>
          </w:p>
        </w:tc>
      </w:tr>
      <w:tr>
        <w:trPr>
          <w:trHeight w:val="162"/>
        </w:trPr>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Section 6.12 Depository Relationship; Control Agreements; Blocked Accounts.............</w:t>
            </w:r>
          </w:p>
        </w:tc>
        <w:tc>
          <w:tcPr>
            <w:tcW w:w="6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95"/>
              </w:rPr>
              <w:t>107</w:t>
            </w: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Section 6.13 Additional Loan Parties..........................</w:t>
            </w:r>
          </w:p>
        </w:tc>
        <w:tc>
          <w:tcPr>
            <w:tcW w:w="2060" w:type="dxa"/>
            <w:vAlign w:val="bottom"/>
          </w:tcPr>
          <w:p>
            <w:pPr>
              <w:jc w:val="right"/>
              <w:ind w:right="1648"/>
              <w:spacing w:after="0"/>
              <w:rPr>
                <w:sz w:val="20"/>
                <w:szCs w:val="20"/>
                <w:color w:val="auto"/>
              </w:rPr>
            </w:pPr>
            <w:r>
              <w:rPr>
                <w:rFonts w:ascii="Times New Roman" w:cs="Times New Roman" w:eastAsia="Times New Roman" w:hAnsi="Times New Roman"/>
                <w:sz w:val="14"/>
                <w:szCs w:val="14"/>
                <w:color w:val="auto"/>
              </w:rPr>
              <w:t>108</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Section 6.14 Sanctions; Anti-Corruption Laws...........</w:t>
            </w:r>
          </w:p>
        </w:tc>
        <w:tc>
          <w:tcPr>
            <w:tcW w:w="2060" w:type="dxa"/>
            <w:vAlign w:val="bottom"/>
          </w:tcPr>
          <w:p>
            <w:pPr>
              <w:jc w:val="right"/>
              <w:ind w:right="1648"/>
              <w:spacing w:after="0"/>
              <w:rPr>
                <w:sz w:val="20"/>
                <w:szCs w:val="20"/>
                <w:color w:val="auto"/>
              </w:rPr>
            </w:pPr>
            <w:r>
              <w:rPr>
                <w:rFonts w:ascii="Times New Roman" w:cs="Times New Roman" w:eastAsia="Times New Roman" w:hAnsi="Times New Roman"/>
                <w:sz w:val="14"/>
                <w:szCs w:val="14"/>
                <w:color w:val="auto"/>
              </w:rPr>
              <w:t>109</w:t>
            </w:r>
          </w:p>
        </w:tc>
        <w:tc>
          <w:tcPr>
            <w:tcW w:w="640" w:type="dxa"/>
            <w:vAlign w:val="bottom"/>
          </w:tcPr>
          <w:p>
            <w:pPr>
              <w:spacing w:after="0"/>
              <w:rPr>
                <w:sz w:val="14"/>
                <w:szCs w:val="14"/>
                <w:color w:val="auto"/>
              </w:rPr>
            </w:pPr>
          </w:p>
        </w:tc>
      </w:tr>
      <w:tr>
        <w:trPr>
          <w:trHeight w:val="162"/>
        </w:trPr>
        <w:tc>
          <w:tcPr>
            <w:tcW w:w="52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5"/>
              </w:rPr>
              <w:t>Section 6.15 Inventory; Collateral Access Agreements................................................................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53"/>
        </w:trPr>
        <w:tc>
          <w:tcPr>
            <w:tcW w:w="32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w w:val="90"/>
              </w:rPr>
              <w:t>Article 7. NEGATIVE COVENANTS.......................................</w:t>
            </w:r>
          </w:p>
        </w:tc>
        <w:tc>
          <w:tcPr>
            <w:tcW w:w="2060" w:type="dxa"/>
            <w:vAlign w:val="bottom"/>
          </w:tcPr>
          <w:p>
            <w:pPr>
              <w:jc w:val="right"/>
              <w:ind w:right="1348"/>
              <w:spacing w:after="0" w:line="153" w:lineRule="exact"/>
              <w:rPr>
                <w:sz w:val="20"/>
                <w:szCs w:val="20"/>
                <w:color w:val="auto"/>
              </w:rPr>
            </w:pPr>
            <w:r>
              <w:rPr>
                <w:rFonts w:ascii="Times New Roman" w:cs="Times New Roman" w:eastAsia="Times New Roman" w:hAnsi="Times New Roman"/>
                <w:sz w:val="14"/>
                <w:szCs w:val="14"/>
                <w:color w:val="auto"/>
              </w:rPr>
              <w:t>110</w:t>
            </w:r>
          </w:p>
        </w:tc>
        <w:tc>
          <w:tcPr>
            <w:tcW w:w="640" w:type="dxa"/>
            <w:vAlign w:val="bottom"/>
          </w:tcPr>
          <w:p>
            <w:pPr>
              <w:spacing w:after="0"/>
              <w:rPr>
                <w:sz w:val="13"/>
                <w:szCs w:val="13"/>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7.1 Debt........................................................</w:t>
            </w:r>
          </w:p>
        </w:tc>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110</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7.2 Limitation on Liens................................</w:t>
            </w:r>
          </w:p>
        </w:tc>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111</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7.3 Mergers, Etc...........................................</w:t>
            </w:r>
          </w:p>
        </w:tc>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112</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7.4 Restricted Payments...............................</w:t>
            </w:r>
          </w:p>
        </w:tc>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113</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7.5 Loans and Investments...........................</w:t>
            </w:r>
          </w:p>
        </w:tc>
        <w:tc>
          <w:tcPr>
            <w:tcW w:w="2060" w:type="dxa"/>
            <w:vAlign w:val="bottom"/>
          </w:tcPr>
          <w:p>
            <w:pPr>
              <w:jc w:val="right"/>
              <w:ind w:right="1748"/>
              <w:spacing w:after="0"/>
              <w:rPr>
                <w:sz w:val="20"/>
                <w:szCs w:val="20"/>
                <w:color w:val="auto"/>
              </w:rPr>
            </w:pPr>
            <w:r>
              <w:rPr>
                <w:rFonts w:ascii="Times New Roman" w:cs="Times New Roman" w:eastAsia="Times New Roman" w:hAnsi="Times New Roman"/>
                <w:sz w:val="14"/>
                <w:szCs w:val="14"/>
                <w:color w:val="auto"/>
              </w:rPr>
              <w:t>113</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7.6 [Reserved]...............................................</w:t>
            </w:r>
          </w:p>
        </w:tc>
        <w:tc>
          <w:tcPr>
            <w:tcW w:w="2060" w:type="dxa"/>
            <w:vAlign w:val="bottom"/>
          </w:tcPr>
          <w:p>
            <w:pPr>
              <w:jc w:val="right"/>
              <w:ind w:right="1728"/>
              <w:spacing w:after="0"/>
              <w:rPr>
                <w:sz w:val="20"/>
                <w:szCs w:val="20"/>
                <w:color w:val="auto"/>
              </w:rPr>
            </w:pPr>
            <w:r>
              <w:rPr>
                <w:rFonts w:ascii="Times New Roman" w:cs="Times New Roman" w:eastAsia="Times New Roman" w:hAnsi="Times New Roman"/>
                <w:sz w:val="14"/>
                <w:szCs w:val="14"/>
                <w:color w:val="auto"/>
              </w:rPr>
              <w:t>114</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7.7 Transactions With Affiliates..................</w:t>
            </w:r>
          </w:p>
        </w:tc>
        <w:tc>
          <w:tcPr>
            <w:tcW w:w="2060" w:type="dxa"/>
            <w:vAlign w:val="bottom"/>
          </w:tcPr>
          <w:p>
            <w:pPr>
              <w:jc w:val="right"/>
              <w:ind w:right="1768"/>
              <w:spacing w:after="0"/>
              <w:rPr>
                <w:sz w:val="20"/>
                <w:szCs w:val="20"/>
                <w:color w:val="auto"/>
              </w:rPr>
            </w:pPr>
            <w:r>
              <w:rPr>
                <w:rFonts w:ascii="Times New Roman" w:cs="Times New Roman" w:eastAsia="Times New Roman" w:hAnsi="Times New Roman"/>
                <w:sz w:val="14"/>
                <w:szCs w:val="14"/>
                <w:color w:val="auto"/>
                <w:w w:val="95"/>
              </w:rPr>
              <w:t>114</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7.8 Disposition of Assets..............................</w:t>
            </w:r>
          </w:p>
        </w:tc>
        <w:tc>
          <w:tcPr>
            <w:tcW w:w="2060" w:type="dxa"/>
            <w:vAlign w:val="bottom"/>
          </w:tcPr>
          <w:p>
            <w:pPr>
              <w:jc w:val="right"/>
              <w:ind w:right="1728"/>
              <w:spacing w:after="0"/>
              <w:rPr>
                <w:sz w:val="20"/>
                <w:szCs w:val="20"/>
                <w:color w:val="auto"/>
              </w:rPr>
            </w:pPr>
            <w:r>
              <w:rPr>
                <w:rFonts w:ascii="Times New Roman" w:cs="Times New Roman" w:eastAsia="Times New Roman" w:hAnsi="Times New Roman"/>
                <w:sz w:val="14"/>
                <w:szCs w:val="14"/>
                <w:color w:val="auto"/>
              </w:rPr>
              <w:t>114</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7.9 Sale and Leaseback................................</w:t>
            </w:r>
          </w:p>
        </w:tc>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115</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Section 7.10 Prepayment of Debt................................</w:t>
            </w:r>
          </w:p>
        </w:tc>
        <w:tc>
          <w:tcPr>
            <w:tcW w:w="2060" w:type="dxa"/>
            <w:vAlign w:val="bottom"/>
          </w:tcPr>
          <w:p>
            <w:pPr>
              <w:jc w:val="right"/>
              <w:ind w:right="1668"/>
              <w:spacing w:after="0"/>
              <w:rPr>
                <w:sz w:val="20"/>
                <w:szCs w:val="20"/>
                <w:color w:val="auto"/>
              </w:rPr>
            </w:pPr>
            <w:r>
              <w:rPr>
                <w:rFonts w:ascii="Times New Roman" w:cs="Times New Roman" w:eastAsia="Times New Roman" w:hAnsi="Times New Roman"/>
                <w:sz w:val="14"/>
                <w:szCs w:val="14"/>
                <w:color w:val="auto"/>
              </w:rPr>
              <w:t>115</w:t>
            </w:r>
          </w:p>
        </w:tc>
        <w:tc>
          <w:tcPr>
            <w:tcW w:w="640" w:type="dxa"/>
            <w:vAlign w:val="bottom"/>
          </w:tcPr>
          <w:p>
            <w:pPr>
              <w:spacing w:after="0"/>
              <w:rPr>
                <w:sz w:val="14"/>
                <w:szCs w:val="14"/>
                <w:color w:val="auto"/>
              </w:rPr>
            </w:pPr>
          </w:p>
        </w:tc>
      </w:tr>
      <w:tr>
        <w:trPr>
          <w:trHeight w:val="153"/>
        </w:trPr>
        <w:tc>
          <w:tcPr>
            <w:tcW w:w="320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w w:val="99"/>
              </w:rPr>
              <w:t>Section 7.11 Nature of Business..................................</w:t>
            </w:r>
          </w:p>
        </w:tc>
        <w:tc>
          <w:tcPr>
            <w:tcW w:w="2060" w:type="dxa"/>
            <w:vAlign w:val="bottom"/>
          </w:tcPr>
          <w:p>
            <w:pPr>
              <w:jc w:val="right"/>
              <w:ind w:right="1668"/>
              <w:spacing w:after="0" w:line="153" w:lineRule="exact"/>
              <w:rPr>
                <w:sz w:val="20"/>
                <w:szCs w:val="20"/>
                <w:color w:val="auto"/>
              </w:rPr>
            </w:pPr>
            <w:r>
              <w:rPr>
                <w:rFonts w:ascii="Times New Roman" w:cs="Times New Roman" w:eastAsia="Times New Roman" w:hAnsi="Times New Roman"/>
                <w:sz w:val="14"/>
                <w:szCs w:val="14"/>
                <w:color w:val="auto"/>
              </w:rPr>
              <w:t>115</w:t>
            </w:r>
          </w:p>
        </w:tc>
        <w:tc>
          <w:tcPr>
            <w:tcW w:w="640" w:type="dxa"/>
            <w:vAlign w:val="bottom"/>
          </w:tcPr>
          <w:p>
            <w:pPr>
              <w:spacing w:after="0"/>
              <w:rPr>
                <w:sz w:val="13"/>
                <w:szCs w:val="13"/>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Section 7.12 Environmental Protection.......................</w:t>
            </w:r>
          </w:p>
        </w:tc>
        <w:tc>
          <w:tcPr>
            <w:tcW w:w="2060" w:type="dxa"/>
            <w:vAlign w:val="bottom"/>
          </w:tcPr>
          <w:p>
            <w:pPr>
              <w:jc w:val="right"/>
              <w:ind w:right="1668"/>
              <w:spacing w:after="0"/>
              <w:rPr>
                <w:sz w:val="20"/>
                <w:szCs w:val="20"/>
                <w:color w:val="auto"/>
              </w:rPr>
            </w:pPr>
            <w:r>
              <w:rPr>
                <w:rFonts w:ascii="Times New Roman" w:cs="Times New Roman" w:eastAsia="Times New Roman" w:hAnsi="Times New Roman"/>
                <w:sz w:val="14"/>
                <w:szCs w:val="14"/>
                <w:color w:val="auto"/>
              </w:rPr>
              <w:t>115</w:t>
            </w:r>
          </w:p>
        </w:tc>
        <w:tc>
          <w:tcPr>
            <w:tcW w:w="640" w:type="dxa"/>
            <w:vAlign w:val="bottom"/>
          </w:tcPr>
          <w:p>
            <w:pPr>
              <w:spacing w:after="0"/>
              <w:rPr>
                <w:sz w:val="14"/>
                <w:szCs w:val="14"/>
                <w:color w:val="auto"/>
              </w:rPr>
            </w:pPr>
          </w:p>
        </w:tc>
      </w:tr>
      <w:tr>
        <w:trPr>
          <w:trHeight w:val="162"/>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7.13 Accounting.............................................</w:t>
            </w:r>
          </w:p>
        </w:tc>
        <w:tc>
          <w:tcPr>
            <w:tcW w:w="2060" w:type="dxa"/>
            <w:vAlign w:val="bottom"/>
          </w:tcPr>
          <w:p>
            <w:pPr>
              <w:jc w:val="right"/>
              <w:ind w:right="1688"/>
              <w:spacing w:after="0"/>
              <w:rPr>
                <w:sz w:val="20"/>
                <w:szCs w:val="20"/>
                <w:color w:val="auto"/>
              </w:rPr>
            </w:pPr>
            <w:r>
              <w:rPr>
                <w:rFonts w:ascii="Times New Roman" w:cs="Times New Roman" w:eastAsia="Times New Roman" w:hAnsi="Times New Roman"/>
                <w:sz w:val="14"/>
                <w:szCs w:val="14"/>
                <w:color w:val="auto"/>
              </w:rPr>
              <w:t>115</w:t>
            </w:r>
          </w:p>
        </w:tc>
        <w:tc>
          <w:tcPr>
            <w:tcW w:w="640" w:type="dxa"/>
            <w:vAlign w:val="bottom"/>
          </w:tcPr>
          <w:p>
            <w:pPr>
              <w:spacing w:after="0"/>
              <w:rPr>
                <w:sz w:val="14"/>
                <w:szCs w:val="14"/>
                <w:color w:val="auto"/>
              </w:rPr>
            </w:pPr>
          </w:p>
        </w:tc>
      </w:tr>
      <w:tr>
        <w:trPr>
          <w:trHeight w:val="188"/>
        </w:trPr>
        <w:tc>
          <w:tcPr>
            <w:tcW w:w="320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Section 7.14 Burdensome Agreements........................</w:t>
            </w:r>
          </w:p>
        </w:tc>
        <w:tc>
          <w:tcPr>
            <w:tcW w:w="2060" w:type="dxa"/>
            <w:vAlign w:val="bottom"/>
          </w:tcPr>
          <w:p>
            <w:pPr>
              <w:jc w:val="right"/>
              <w:ind w:right="1648"/>
              <w:spacing w:after="0"/>
              <w:rPr>
                <w:sz w:val="20"/>
                <w:szCs w:val="20"/>
                <w:color w:val="auto"/>
              </w:rPr>
            </w:pPr>
            <w:r>
              <w:rPr>
                <w:rFonts w:ascii="Times New Roman" w:cs="Times New Roman" w:eastAsia="Times New Roman" w:hAnsi="Times New Roman"/>
                <w:sz w:val="14"/>
                <w:szCs w:val="14"/>
                <w:color w:val="auto"/>
              </w:rPr>
              <w:t>116</w:t>
            </w:r>
          </w:p>
        </w:tc>
        <w:tc>
          <w:tcPr>
            <w:tcW w:w="640" w:type="dxa"/>
            <w:vAlign w:val="bottom"/>
          </w:tcPr>
          <w:p>
            <w:pPr>
              <w:spacing w:after="0"/>
              <w:rPr>
                <w:sz w:val="16"/>
                <w:szCs w:val="16"/>
                <w:color w:val="auto"/>
              </w:rPr>
            </w:pPr>
          </w:p>
        </w:tc>
      </w:tr>
      <w:tr>
        <w:trPr>
          <w:trHeight w:val="540"/>
        </w:trPr>
        <w:tc>
          <w:tcPr>
            <w:tcW w:w="3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w:t>
            </w:r>
          </w:p>
        </w:tc>
      </w:tr>
    </w:tbl>
    <w:p>
      <w:pPr>
        <w:sectPr>
          <w:pgSz w:w="11900" w:h="16838" w:orient="portrait"/>
          <w:cols w:equalWidth="0" w:num="1">
            <w:col w:w="11300"/>
          </w:cols>
          <w:pgMar w:left="300" w:top="287" w:right="29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7.15 Subsidiaries.............................................</w:t>
            </w:r>
          </w:p>
        </w:tc>
        <w:tc>
          <w:tcPr>
            <w:tcW w:w="2220" w:type="dxa"/>
            <w:vAlign w:val="bottom"/>
          </w:tcPr>
          <w:p>
            <w:pPr>
              <w:jc w:val="right"/>
              <w:ind w:right="1828"/>
              <w:spacing w:after="0"/>
              <w:rPr>
                <w:sz w:val="20"/>
                <w:szCs w:val="20"/>
                <w:color w:val="auto"/>
              </w:rPr>
            </w:pPr>
            <w:r>
              <w:rPr>
                <w:rFonts w:ascii="Times New Roman" w:cs="Times New Roman" w:eastAsia="Times New Roman" w:hAnsi="Times New Roman"/>
                <w:sz w:val="14"/>
                <w:szCs w:val="14"/>
                <w:color w:val="auto"/>
              </w:rPr>
              <w:t>116</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7.16 Amendments of Certain Documents......</w:t>
            </w:r>
          </w:p>
        </w:tc>
        <w:tc>
          <w:tcPr>
            <w:tcW w:w="2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116</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7.17 Hedge Agreements.................................</w:t>
            </w:r>
          </w:p>
        </w:tc>
        <w:tc>
          <w:tcPr>
            <w:tcW w:w="2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116</w:t>
            </w:r>
          </w:p>
        </w:tc>
        <w:tc>
          <w:tcPr>
            <w:tcW w:w="640" w:type="dxa"/>
            <w:vAlign w:val="bottom"/>
          </w:tcPr>
          <w:p>
            <w:pPr>
              <w:spacing w:after="0"/>
              <w:rPr>
                <w:sz w:val="14"/>
                <w:szCs w:val="14"/>
                <w:color w:val="auto"/>
              </w:rPr>
            </w:pPr>
          </w:p>
        </w:tc>
      </w:tr>
      <w:tr>
        <w:trPr>
          <w:trHeight w:val="162"/>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Section 7.18 Anti-Corruption Laws; Sanctions; Anti-Terrorism Law........................................</w:t>
            </w:r>
          </w:p>
        </w:tc>
        <w:tc>
          <w:tcPr>
            <w:tcW w:w="6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116</w:t>
            </w: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7.19 Outbound Investment Rules...................</w:t>
            </w:r>
          </w:p>
        </w:tc>
        <w:tc>
          <w:tcPr>
            <w:tcW w:w="2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117</w:t>
            </w:r>
          </w:p>
        </w:tc>
        <w:tc>
          <w:tcPr>
            <w:tcW w:w="640" w:type="dxa"/>
            <w:vAlign w:val="bottom"/>
          </w:tcPr>
          <w:p>
            <w:pPr>
              <w:spacing w:after="0"/>
              <w:rPr>
                <w:sz w:val="14"/>
                <w:szCs w:val="14"/>
                <w:color w:val="auto"/>
              </w:rPr>
            </w:pPr>
          </w:p>
        </w:tc>
      </w:tr>
      <w:tr>
        <w:trPr>
          <w:trHeight w:val="153"/>
        </w:trPr>
        <w:tc>
          <w:tcPr>
            <w:tcW w:w="32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w w:val="91"/>
              </w:rPr>
              <w:t>Article 8. FINANCIAL COVENANTS.....................................</w:t>
            </w:r>
          </w:p>
        </w:tc>
        <w:tc>
          <w:tcPr>
            <w:tcW w:w="2220" w:type="dxa"/>
            <w:vAlign w:val="bottom"/>
          </w:tcPr>
          <w:p>
            <w:pPr>
              <w:ind w:left="400"/>
              <w:spacing w:after="0" w:line="153" w:lineRule="exact"/>
              <w:rPr>
                <w:sz w:val="20"/>
                <w:szCs w:val="20"/>
                <w:color w:val="auto"/>
              </w:rPr>
            </w:pPr>
            <w:r>
              <w:rPr>
                <w:rFonts w:ascii="Times New Roman" w:cs="Times New Roman" w:eastAsia="Times New Roman" w:hAnsi="Times New Roman"/>
                <w:sz w:val="14"/>
                <w:szCs w:val="14"/>
                <w:color w:val="auto"/>
              </w:rPr>
              <w:t>117</w:t>
            </w:r>
          </w:p>
        </w:tc>
        <w:tc>
          <w:tcPr>
            <w:tcW w:w="640" w:type="dxa"/>
            <w:vAlign w:val="bottom"/>
          </w:tcPr>
          <w:p>
            <w:pPr>
              <w:spacing w:after="0"/>
              <w:rPr>
                <w:sz w:val="13"/>
                <w:szCs w:val="13"/>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8.1 Leverage Ratio.......................................</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117</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8.2 Fixed Charge Coverage Ratio................</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117</w:t>
            </w:r>
          </w:p>
        </w:tc>
        <w:tc>
          <w:tcPr>
            <w:tcW w:w="640" w:type="dxa"/>
            <w:vAlign w:val="bottom"/>
          </w:tcPr>
          <w:p>
            <w:pPr>
              <w:spacing w:after="0"/>
              <w:rPr>
                <w:sz w:val="14"/>
                <w:szCs w:val="14"/>
                <w:color w:val="auto"/>
              </w:rPr>
            </w:pPr>
          </w:p>
        </w:tc>
      </w:tr>
      <w:tr>
        <w:trPr>
          <w:trHeight w:val="162"/>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w w:val="91"/>
              </w:rPr>
              <w:t>Article 9. DEFAULT..................................................................</w:t>
            </w:r>
          </w:p>
        </w:tc>
        <w:tc>
          <w:tcPr>
            <w:tcW w:w="22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117</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9.1 Events of Default....................................</w:t>
            </w:r>
          </w:p>
        </w:tc>
        <w:tc>
          <w:tcPr>
            <w:tcW w:w="2220" w:type="dxa"/>
            <w:vAlign w:val="bottom"/>
          </w:tcPr>
          <w:p>
            <w:pPr>
              <w:jc w:val="right"/>
              <w:ind w:right="1908"/>
              <w:spacing w:after="0"/>
              <w:rPr>
                <w:sz w:val="20"/>
                <w:szCs w:val="20"/>
                <w:color w:val="auto"/>
              </w:rPr>
            </w:pPr>
            <w:r>
              <w:rPr>
                <w:rFonts w:ascii="Times New Roman" w:cs="Times New Roman" w:eastAsia="Times New Roman" w:hAnsi="Times New Roman"/>
                <w:sz w:val="14"/>
                <w:szCs w:val="14"/>
                <w:color w:val="auto"/>
              </w:rPr>
              <w:t>117</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9.2 Remedies Upon Default.........................</w:t>
            </w:r>
          </w:p>
        </w:tc>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120</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9.3 Application of Funds..............................</w:t>
            </w:r>
          </w:p>
        </w:tc>
        <w:tc>
          <w:tcPr>
            <w:tcW w:w="2220" w:type="dxa"/>
            <w:vAlign w:val="bottom"/>
          </w:tcPr>
          <w:p>
            <w:pPr>
              <w:jc w:val="right"/>
              <w:ind w:right="1908"/>
              <w:spacing w:after="0"/>
              <w:rPr>
                <w:sz w:val="20"/>
                <w:szCs w:val="20"/>
                <w:color w:val="auto"/>
              </w:rPr>
            </w:pPr>
            <w:r>
              <w:rPr>
                <w:rFonts w:ascii="Times New Roman" w:cs="Times New Roman" w:eastAsia="Times New Roman" w:hAnsi="Times New Roman"/>
                <w:sz w:val="14"/>
                <w:szCs w:val="14"/>
                <w:color w:val="auto"/>
              </w:rPr>
              <w:t>120</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9.4 Performance by Administrative Agent...</w:t>
            </w:r>
          </w:p>
        </w:tc>
        <w:tc>
          <w:tcPr>
            <w:tcW w:w="2220" w:type="dxa"/>
            <w:vAlign w:val="bottom"/>
          </w:tcPr>
          <w:p>
            <w:pPr>
              <w:jc w:val="right"/>
              <w:ind w:right="1908"/>
              <w:spacing w:after="0"/>
              <w:rPr>
                <w:sz w:val="20"/>
                <w:szCs w:val="20"/>
                <w:color w:val="auto"/>
              </w:rPr>
            </w:pPr>
            <w:r>
              <w:rPr>
                <w:rFonts w:ascii="Times New Roman" w:cs="Times New Roman" w:eastAsia="Times New Roman" w:hAnsi="Times New Roman"/>
                <w:sz w:val="14"/>
                <w:szCs w:val="14"/>
                <w:color w:val="auto"/>
              </w:rPr>
              <w:t>121</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9.5 Credit Bidding........................................</w:t>
            </w:r>
          </w:p>
        </w:tc>
        <w:tc>
          <w:tcPr>
            <w:tcW w:w="2220" w:type="dxa"/>
            <w:vAlign w:val="bottom"/>
          </w:tcPr>
          <w:p>
            <w:pPr>
              <w:jc w:val="right"/>
              <w:ind w:right="1928"/>
              <w:spacing w:after="0"/>
              <w:rPr>
                <w:sz w:val="20"/>
                <w:szCs w:val="20"/>
                <w:color w:val="auto"/>
              </w:rPr>
            </w:pPr>
            <w:r>
              <w:rPr>
                <w:rFonts w:ascii="Times New Roman" w:cs="Times New Roman" w:eastAsia="Times New Roman" w:hAnsi="Times New Roman"/>
                <w:sz w:val="14"/>
                <w:szCs w:val="14"/>
                <w:color w:val="auto"/>
                <w:w w:val="95"/>
              </w:rPr>
              <w:t>121</w:t>
            </w:r>
          </w:p>
        </w:tc>
        <w:tc>
          <w:tcPr>
            <w:tcW w:w="640" w:type="dxa"/>
            <w:vAlign w:val="bottom"/>
          </w:tcPr>
          <w:p>
            <w:pPr>
              <w:spacing w:after="0"/>
              <w:rPr>
                <w:sz w:val="14"/>
                <w:szCs w:val="14"/>
                <w:color w:val="auto"/>
              </w:rPr>
            </w:pPr>
          </w:p>
        </w:tc>
      </w:tr>
      <w:tr>
        <w:trPr>
          <w:trHeight w:val="162"/>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w w:val="90"/>
              </w:rPr>
              <w:t>Article 10. AGENCY..................................................................</w:t>
            </w:r>
          </w:p>
        </w:tc>
        <w:tc>
          <w:tcPr>
            <w:tcW w:w="22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122</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10.1 Appointment and Authority....................</w:t>
            </w:r>
          </w:p>
        </w:tc>
        <w:tc>
          <w:tcPr>
            <w:tcW w:w="2220" w:type="dxa"/>
            <w:vAlign w:val="bottom"/>
          </w:tcPr>
          <w:p>
            <w:pPr>
              <w:jc w:val="right"/>
              <w:ind w:right="1828"/>
              <w:spacing w:after="0"/>
              <w:rPr>
                <w:sz w:val="20"/>
                <w:szCs w:val="20"/>
                <w:color w:val="auto"/>
              </w:rPr>
            </w:pPr>
            <w:r>
              <w:rPr>
                <w:rFonts w:ascii="Times New Roman" w:cs="Times New Roman" w:eastAsia="Times New Roman" w:hAnsi="Times New Roman"/>
                <w:sz w:val="14"/>
                <w:szCs w:val="14"/>
                <w:color w:val="auto"/>
              </w:rPr>
              <w:t>122</w:t>
            </w:r>
          </w:p>
        </w:tc>
        <w:tc>
          <w:tcPr>
            <w:tcW w:w="640" w:type="dxa"/>
            <w:vAlign w:val="bottom"/>
          </w:tcPr>
          <w:p>
            <w:pPr>
              <w:spacing w:after="0"/>
              <w:rPr>
                <w:sz w:val="14"/>
                <w:szCs w:val="14"/>
                <w:color w:val="auto"/>
              </w:rPr>
            </w:pPr>
          </w:p>
        </w:tc>
      </w:tr>
      <w:tr>
        <w:trPr>
          <w:trHeight w:val="153"/>
        </w:trPr>
        <w:tc>
          <w:tcPr>
            <w:tcW w:w="322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Section 10.2 Rights as a Lender..................................</w:t>
            </w:r>
          </w:p>
        </w:tc>
        <w:tc>
          <w:tcPr>
            <w:tcW w:w="2220" w:type="dxa"/>
            <w:vAlign w:val="bottom"/>
          </w:tcPr>
          <w:p>
            <w:pPr>
              <w:ind w:left="80"/>
              <w:spacing w:after="0" w:line="153" w:lineRule="exact"/>
              <w:rPr>
                <w:sz w:val="20"/>
                <w:szCs w:val="20"/>
                <w:color w:val="auto"/>
              </w:rPr>
            </w:pPr>
            <w:r>
              <w:rPr>
                <w:rFonts w:ascii="Times New Roman" w:cs="Times New Roman" w:eastAsia="Times New Roman" w:hAnsi="Times New Roman"/>
                <w:sz w:val="14"/>
                <w:szCs w:val="14"/>
                <w:color w:val="auto"/>
              </w:rPr>
              <w:t>123</w:t>
            </w:r>
          </w:p>
        </w:tc>
        <w:tc>
          <w:tcPr>
            <w:tcW w:w="640" w:type="dxa"/>
            <w:vAlign w:val="bottom"/>
          </w:tcPr>
          <w:p>
            <w:pPr>
              <w:spacing w:after="0"/>
              <w:rPr>
                <w:sz w:val="13"/>
                <w:szCs w:val="13"/>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10.3 Exculpatory Provisions...........................</w:t>
            </w:r>
          </w:p>
        </w:tc>
        <w:tc>
          <w:tcPr>
            <w:tcW w:w="2220" w:type="dxa"/>
            <w:vAlign w:val="bottom"/>
          </w:tcPr>
          <w:p>
            <w:pPr>
              <w:jc w:val="right"/>
              <w:ind w:right="1828"/>
              <w:spacing w:after="0"/>
              <w:rPr>
                <w:sz w:val="20"/>
                <w:szCs w:val="20"/>
                <w:color w:val="auto"/>
              </w:rPr>
            </w:pPr>
            <w:r>
              <w:rPr>
                <w:rFonts w:ascii="Times New Roman" w:cs="Times New Roman" w:eastAsia="Times New Roman" w:hAnsi="Times New Roman"/>
                <w:sz w:val="14"/>
                <w:szCs w:val="14"/>
                <w:color w:val="auto"/>
              </w:rPr>
              <w:t>123</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10.4 Reliance by Administrative Agent.........</w:t>
            </w:r>
          </w:p>
        </w:tc>
        <w:tc>
          <w:tcPr>
            <w:tcW w:w="2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125</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10.5 Delegation of Duties...............................</w:t>
            </w:r>
          </w:p>
        </w:tc>
        <w:tc>
          <w:tcPr>
            <w:tcW w:w="2220" w:type="dxa"/>
            <w:vAlign w:val="bottom"/>
          </w:tcPr>
          <w:p>
            <w:pPr>
              <w:jc w:val="right"/>
              <w:ind w:right="1828"/>
              <w:spacing w:after="0"/>
              <w:rPr>
                <w:sz w:val="20"/>
                <w:szCs w:val="20"/>
                <w:color w:val="auto"/>
              </w:rPr>
            </w:pPr>
            <w:r>
              <w:rPr>
                <w:rFonts w:ascii="Times New Roman" w:cs="Times New Roman" w:eastAsia="Times New Roman" w:hAnsi="Times New Roman"/>
                <w:sz w:val="14"/>
                <w:szCs w:val="14"/>
                <w:color w:val="auto"/>
              </w:rPr>
              <w:t>125</w:t>
            </w:r>
          </w:p>
        </w:tc>
        <w:tc>
          <w:tcPr>
            <w:tcW w:w="640" w:type="dxa"/>
            <w:vAlign w:val="bottom"/>
          </w:tcPr>
          <w:p>
            <w:pPr>
              <w:spacing w:after="0"/>
              <w:rPr>
                <w:sz w:val="14"/>
                <w:szCs w:val="14"/>
                <w:color w:val="auto"/>
              </w:rPr>
            </w:pPr>
          </w:p>
        </w:tc>
      </w:tr>
      <w:tr>
        <w:trPr>
          <w:trHeight w:val="162"/>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6"/>
              </w:rPr>
              <w:t>Section 10.6 Resignation or Removal of Administrative Agent......................................................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r>
      <w:tr>
        <w:trPr>
          <w:trHeight w:val="162"/>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5"/>
              </w:rPr>
              <w:t>Section 10.7 Non-Reliance on Administrative Agent and Other Lenders.........................................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62"/>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8"/>
              </w:rPr>
              <w:t>Section 10.8 Administrative Agent May File Proofs of Claim......................................................</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127</w:t>
            </w: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10.9 Collateral and Guaranty Matters............</w:t>
            </w:r>
          </w:p>
        </w:tc>
        <w:tc>
          <w:tcPr>
            <w:tcW w:w="2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128</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Section 10.10 Bank Product Agreements......................</w:t>
            </w:r>
          </w:p>
        </w:tc>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129</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Section 10.11 Certain ERISA Matters..........................</w:t>
            </w:r>
          </w:p>
        </w:tc>
        <w:tc>
          <w:tcPr>
            <w:tcW w:w="2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129</w:t>
            </w:r>
          </w:p>
        </w:tc>
        <w:tc>
          <w:tcPr>
            <w:tcW w:w="640" w:type="dxa"/>
            <w:vAlign w:val="bottom"/>
          </w:tcPr>
          <w:p>
            <w:pPr>
              <w:spacing w:after="0"/>
              <w:rPr>
                <w:sz w:val="14"/>
                <w:szCs w:val="14"/>
                <w:color w:val="auto"/>
              </w:rPr>
            </w:pPr>
          </w:p>
        </w:tc>
      </w:tr>
      <w:tr>
        <w:trPr>
          <w:trHeight w:val="153"/>
        </w:trPr>
        <w:tc>
          <w:tcPr>
            <w:tcW w:w="5440" w:type="dxa"/>
            <w:vAlign w:val="bottom"/>
            <w:gridSpan w:val="2"/>
          </w:tcPr>
          <w:p>
            <w:pPr>
              <w:ind w:left="200"/>
              <w:spacing w:after="0" w:line="153" w:lineRule="exact"/>
              <w:rPr>
                <w:sz w:val="20"/>
                <w:szCs w:val="20"/>
                <w:color w:val="auto"/>
              </w:rPr>
            </w:pPr>
            <w:r>
              <w:rPr>
                <w:rFonts w:ascii="Times New Roman" w:cs="Times New Roman" w:eastAsia="Times New Roman" w:hAnsi="Times New Roman"/>
                <w:sz w:val="14"/>
                <w:szCs w:val="14"/>
                <w:color w:val="auto"/>
              </w:rPr>
              <w:t>Section 10.12 Acknowledgement with Respect to Erroneous Payments...............................</w:t>
            </w:r>
          </w:p>
        </w:tc>
        <w:tc>
          <w:tcPr>
            <w:tcW w:w="640" w:type="dxa"/>
            <w:vAlign w:val="bottom"/>
          </w:tcPr>
          <w:p>
            <w:pPr>
              <w:jc w:val="right"/>
              <w:ind w:right="348"/>
              <w:spacing w:after="0" w:line="153" w:lineRule="exact"/>
              <w:rPr>
                <w:sz w:val="20"/>
                <w:szCs w:val="20"/>
                <w:color w:val="auto"/>
              </w:rPr>
            </w:pPr>
            <w:r>
              <w:rPr>
                <w:rFonts w:ascii="Times New Roman" w:cs="Times New Roman" w:eastAsia="Times New Roman" w:hAnsi="Times New Roman"/>
                <w:sz w:val="14"/>
                <w:szCs w:val="14"/>
                <w:color w:val="auto"/>
                <w:w w:val="95"/>
              </w:rPr>
              <w:t>131</w:t>
            </w:r>
          </w:p>
        </w:tc>
      </w:tr>
      <w:tr>
        <w:trPr>
          <w:trHeight w:val="162"/>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w w:val="91"/>
              </w:rPr>
              <w:t>Article 11. MISCELLANEOUS.................................................</w:t>
            </w:r>
          </w:p>
        </w:tc>
        <w:tc>
          <w:tcPr>
            <w:tcW w:w="22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132</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11.1 Expenses.................................................</w:t>
            </w:r>
          </w:p>
        </w:tc>
        <w:tc>
          <w:tcPr>
            <w:tcW w:w="2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132</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11.2 INDEMNIFICATION............................</w:t>
            </w:r>
          </w:p>
        </w:tc>
        <w:tc>
          <w:tcPr>
            <w:tcW w:w="2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133</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11.3 Limitation of Liability............................</w:t>
            </w:r>
          </w:p>
        </w:tc>
        <w:tc>
          <w:tcPr>
            <w:tcW w:w="2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134</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11.4 No Duty..................................................</w:t>
            </w:r>
          </w:p>
        </w:tc>
        <w:tc>
          <w:tcPr>
            <w:tcW w:w="2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135</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11.5 Lenders Not Fiduciary............................</w:t>
            </w:r>
          </w:p>
        </w:tc>
        <w:tc>
          <w:tcPr>
            <w:tcW w:w="2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135</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11.6 Equitable Relief......................................</w:t>
            </w:r>
          </w:p>
        </w:tc>
        <w:tc>
          <w:tcPr>
            <w:tcW w:w="2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135</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11.7 No Waiver; Cumulative Remedies.........</w:t>
            </w:r>
          </w:p>
        </w:tc>
        <w:tc>
          <w:tcPr>
            <w:tcW w:w="2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135</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11.8 Successors and Assigns..........................</w:t>
            </w:r>
          </w:p>
        </w:tc>
        <w:tc>
          <w:tcPr>
            <w:tcW w:w="2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136</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11.9 Survival...................................................</w:t>
            </w:r>
          </w:p>
        </w:tc>
        <w:tc>
          <w:tcPr>
            <w:tcW w:w="2220" w:type="dxa"/>
            <w:vAlign w:val="bottom"/>
          </w:tcPr>
          <w:p>
            <w:pPr>
              <w:jc w:val="right"/>
              <w:ind w:right="1828"/>
              <w:spacing w:after="0"/>
              <w:rPr>
                <w:sz w:val="20"/>
                <w:szCs w:val="20"/>
                <w:color w:val="auto"/>
              </w:rPr>
            </w:pPr>
            <w:r>
              <w:rPr>
                <w:rFonts w:ascii="Times New Roman" w:cs="Times New Roman" w:eastAsia="Times New Roman" w:hAnsi="Times New Roman"/>
                <w:sz w:val="14"/>
                <w:szCs w:val="14"/>
                <w:color w:val="auto"/>
              </w:rPr>
              <w:t>140</w:t>
            </w:r>
          </w:p>
        </w:tc>
        <w:tc>
          <w:tcPr>
            <w:tcW w:w="640" w:type="dxa"/>
            <w:vAlign w:val="bottom"/>
          </w:tcPr>
          <w:p>
            <w:pPr>
              <w:spacing w:after="0"/>
              <w:rPr>
                <w:sz w:val="14"/>
                <w:szCs w:val="14"/>
                <w:color w:val="auto"/>
              </w:rPr>
            </w:pPr>
          </w:p>
        </w:tc>
      </w:tr>
      <w:tr>
        <w:trPr>
          <w:trHeight w:val="153"/>
        </w:trPr>
        <w:tc>
          <w:tcPr>
            <w:tcW w:w="322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w w:val="98"/>
              </w:rPr>
              <w:t>Section 11.10 Amendment............................................</w:t>
            </w:r>
          </w:p>
        </w:tc>
        <w:tc>
          <w:tcPr>
            <w:tcW w:w="222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140</w:t>
            </w:r>
          </w:p>
        </w:tc>
        <w:tc>
          <w:tcPr>
            <w:tcW w:w="640" w:type="dxa"/>
            <w:vAlign w:val="bottom"/>
          </w:tcPr>
          <w:p>
            <w:pPr>
              <w:spacing w:after="0"/>
              <w:rPr>
                <w:sz w:val="13"/>
                <w:szCs w:val="13"/>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Section 11.11 Notices....................................................</w:t>
            </w:r>
          </w:p>
        </w:tc>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142</w:t>
            </w:r>
          </w:p>
        </w:tc>
        <w:tc>
          <w:tcPr>
            <w:tcW w:w="640" w:type="dxa"/>
            <w:vAlign w:val="bottom"/>
          </w:tcPr>
          <w:p>
            <w:pPr>
              <w:spacing w:after="0"/>
              <w:rPr>
                <w:sz w:val="14"/>
                <w:szCs w:val="14"/>
                <w:color w:val="auto"/>
              </w:rPr>
            </w:pPr>
          </w:p>
        </w:tc>
      </w:tr>
      <w:tr>
        <w:trPr>
          <w:trHeight w:val="162"/>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5"/>
              </w:rPr>
              <w:t>Section 11.12 Governing Law; Venue; Service of Process................................................................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Section 11.13 Counterparts...........................................</w:t>
            </w:r>
          </w:p>
        </w:tc>
        <w:tc>
          <w:tcPr>
            <w:tcW w:w="2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146</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Section 11.14 Severability.............................................</w:t>
            </w:r>
          </w:p>
        </w:tc>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146</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Section 11.15 Headings.................................................</w:t>
            </w:r>
          </w:p>
        </w:tc>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146</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Section 11.16 Construction...........................................</w:t>
            </w:r>
          </w:p>
        </w:tc>
        <w:tc>
          <w:tcPr>
            <w:tcW w:w="2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146</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Section 11.17 Independence of Covenants....................</w:t>
            </w:r>
          </w:p>
        </w:tc>
        <w:tc>
          <w:tcPr>
            <w:tcW w:w="2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146</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Section 11.18 WAIVER OF JURY TRIAL..................</w:t>
            </w:r>
          </w:p>
        </w:tc>
        <w:tc>
          <w:tcPr>
            <w:tcW w:w="2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146</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Section 11.19 Additional Interest Provision..................</w:t>
            </w:r>
          </w:p>
        </w:tc>
        <w:tc>
          <w:tcPr>
            <w:tcW w:w="2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147</w:t>
            </w:r>
          </w:p>
        </w:tc>
        <w:tc>
          <w:tcPr>
            <w:tcW w:w="640" w:type="dxa"/>
            <w:vAlign w:val="bottom"/>
          </w:tcPr>
          <w:p>
            <w:pPr>
              <w:spacing w:after="0"/>
              <w:rPr>
                <w:sz w:val="14"/>
                <w:szCs w:val="14"/>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Section 11.20 USA Patriot Act Notice..........................</w:t>
            </w:r>
          </w:p>
        </w:tc>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148</w:t>
            </w:r>
          </w:p>
        </w:tc>
        <w:tc>
          <w:tcPr>
            <w:tcW w:w="640" w:type="dxa"/>
            <w:vAlign w:val="bottom"/>
          </w:tcPr>
          <w:p>
            <w:pPr>
              <w:spacing w:after="0"/>
              <w:rPr>
                <w:sz w:val="14"/>
                <w:szCs w:val="14"/>
                <w:color w:val="auto"/>
              </w:rPr>
            </w:pPr>
          </w:p>
        </w:tc>
      </w:tr>
      <w:tr>
        <w:trPr>
          <w:trHeight w:val="153"/>
        </w:trPr>
        <w:tc>
          <w:tcPr>
            <w:tcW w:w="322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w w:val="98"/>
              </w:rPr>
              <w:t>Section 11.21 Defaulting Lenders.................................</w:t>
            </w:r>
          </w:p>
        </w:tc>
        <w:tc>
          <w:tcPr>
            <w:tcW w:w="222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color w:val="auto"/>
              </w:rPr>
              <w:t>148</w:t>
            </w:r>
          </w:p>
        </w:tc>
        <w:tc>
          <w:tcPr>
            <w:tcW w:w="640" w:type="dxa"/>
            <w:vAlign w:val="bottom"/>
          </w:tcPr>
          <w:p>
            <w:pPr>
              <w:spacing w:after="0"/>
              <w:rPr>
                <w:sz w:val="13"/>
                <w:szCs w:val="13"/>
                <w:color w:val="auto"/>
              </w:rPr>
            </w:pPr>
          </w:p>
        </w:tc>
      </w:tr>
      <w:tr>
        <w:trPr>
          <w:trHeight w:val="162"/>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Section 11.22 Sharing of Payments by Lenders............</w:t>
            </w:r>
          </w:p>
        </w:tc>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151</w:t>
            </w:r>
          </w:p>
        </w:tc>
        <w:tc>
          <w:tcPr>
            <w:tcW w:w="640" w:type="dxa"/>
            <w:vAlign w:val="bottom"/>
          </w:tcPr>
          <w:p>
            <w:pPr>
              <w:spacing w:after="0"/>
              <w:rPr>
                <w:sz w:val="14"/>
                <w:szCs w:val="14"/>
                <w:color w:val="auto"/>
              </w:rPr>
            </w:pPr>
          </w:p>
        </w:tc>
      </w:tr>
      <w:tr>
        <w:trPr>
          <w:trHeight w:val="188"/>
        </w:trPr>
        <w:tc>
          <w:tcPr>
            <w:tcW w:w="32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Section 11.23 Payments Set Aside................................</w:t>
            </w:r>
          </w:p>
        </w:tc>
        <w:tc>
          <w:tcPr>
            <w:tcW w:w="2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151</w:t>
            </w:r>
          </w:p>
        </w:tc>
        <w:tc>
          <w:tcPr>
            <w:tcW w:w="640" w:type="dxa"/>
            <w:vAlign w:val="bottom"/>
          </w:tcPr>
          <w:p>
            <w:pPr>
              <w:spacing w:after="0"/>
              <w:rPr>
                <w:sz w:val="16"/>
                <w:szCs w:val="16"/>
                <w:color w:val="auto"/>
              </w:rPr>
            </w:pPr>
          </w:p>
        </w:tc>
      </w:tr>
      <w:tr>
        <w:trPr>
          <w:trHeight w:val="540"/>
        </w:trPr>
        <w:tc>
          <w:tcPr>
            <w:tcW w:w="3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24</w:t>
            </w:r>
          </w:p>
        </w:tc>
      </w:tr>
    </w:tbl>
    <w:p>
      <w:pPr>
        <w:sectPr>
          <w:pgSz w:w="11900" w:h="16838" w:orient="portrait"/>
          <w:cols w:equalWidth="0" w:num="1">
            <w:col w:w="11300"/>
          </w:cols>
          <w:pgMar w:left="300" w:top="287" w:right="29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11.24 Setoff......................................................</w:t>
            </w:r>
          </w:p>
        </w:tc>
        <w:tc>
          <w:tcPr>
            <w:tcW w:w="1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152</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11.25 Confidentiality........................................</w:t>
            </w:r>
          </w:p>
        </w:tc>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152</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49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Section 11.26 Electronic Execution of Assignments and Certain Other Documents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162"/>
        </w:trPr>
        <w:tc>
          <w:tcPr>
            <w:tcW w:w="57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Section 11.27 Acknowledgement and Consent to Bail-In of Affected Financial Institutions...........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11.28 Keepwell.................................................</w:t>
            </w:r>
          </w:p>
        </w:tc>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155</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53"/>
        </w:trPr>
        <w:tc>
          <w:tcPr>
            <w:tcW w:w="3300" w:type="dxa"/>
            <w:vAlign w:val="bottom"/>
          </w:tcPr>
          <w:p>
            <w:pPr>
              <w:ind w:left="200"/>
              <w:spacing w:after="0" w:line="153" w:lineRule="exact"/>
              <w:rPr>
                <w:sz w:val="20"/>
                <w:szCs w:val="20"/>
                <w:color w:val="auto"/>
              </w:rPr>
            </w:pPr>
            <w:r>
              <w:rPr>
                <w:rFonts w:ascii="Times New Roman" w:cs="Times New Roman" w:eastAsia="Times New Roman" w:hAnsi="Times New Roman"/>
                <w:sz w:val="14"/>
                <w:szCs w:val="14"/>
                <w:color w:val="auto"/>
              </w:rPr>
              <w:t>Section 11.29 NOTICE OF FINAL AGREEMENT.....</w:t>
            </w:r>
          </w:p>
        </w:tc>
        <w:tc>
          <w:tcPr>
            <w:tcW w:w="1640" w:type="dxa"/>
            <w:vAlign w:val="bottom"/>
          </w:tcPr>
          <w:p>
            <w:pPr>
              <w:ind w:left="80"/>
              <w:spacing w:after="0" w:line="153" w:lineRule="exact"/>
              <w:rPr>
                <w:sz w:val="20"/>
                <w:szCs w:val="20"/>
                <w:color w:val="auto"/>
              </w:rPr>
            </w:pPr>
            <w:r>
              <w:rPr>
                <w:rFonts w:ascii="Times New Roman" w:cs="Times New Roman" w:eastAsia="Times New Roman" w:hAnsi="Times New Roman"/>
                <w:sz w:val="14"/>
                <w:szCs w:val="14"/>
                <w:color w:val="auto"/>
              </w:rPr>
              <w:t>155</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62"/>
        </w:trPr>
        <w:tc>
          <w:tcPr>
            <w:tcW w:w="49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3"/>
              </w:rPr>
              <w:t>Section 11.30 Acknowledgement Regarding Any Supported QFCs.....................................</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155</w:t>
            </w:r>
          </w:p>
        </w:tc>
        <w:tc>
          <w:tcPr>
            <w:tcW w:w="340" w:type="dxa"/>
            <w:vAlign w:val="bottom"/>
          </w:tcPr>
          <w:p>
            <w:pPr>
              <w:spacing w:after="0"/>
              <w:rPr>
                <w:sz w:val="14"/>
                <w:szCs w:val="14"/>
                <w:color w:val="auto"/>
              </w:rPr>
            </w:pPr>
          </w:p>
        </w:tc>
      </w:tr>
      <w:tr>
        <w:trPr>
          <w:trHeight w:val="162"/>
        </w:trPr>
        <w:tc>
          <w:tcPr>
            <w:tcW w:w="572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Section 11.31 Restatement; Existing Credit Agreement................................................................</w:t>
            </w: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5"/>
              </w:rPr>
              <w:t>156</w:t>
            </w: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11.32 True-Up..................................................</w:t>
            </w:r>
          </w:p>
        </w:tc>
        <w:tc>
          <w:tcPr>
            <w:tcW w:w="1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156</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w w:val="93"/>
              </w:rPr>
              <w:t>Article 12. GUARANTY............................................................</w:t>
            </w:r>
          </w:p>
        </w:tc>
        <w:tc>
          <w:tcPr>
            <w:tcW w:w="1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157</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12.1 Guaranty.................................................</w:t>
            </w:r>
          </w:p>
        </w:tc>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157</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12.2 Payment..................................................</w:t>
            </w:r>
          </w:p>
        </w:tc>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157</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12.3 Agreements and Waivers........................</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157</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12.4 Liability..................................................</w:t>
            </w:r>
          </w:p>
        </w:tc>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159</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12.5 Subordination.........................................</w:t>
            </w:r>
          </w:p>
        </w:tc>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159</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12.6 Subrogation.............................................</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160</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53"/>
        </w:trPr>
        <w:tc>
          <w:tcPr>
            <w:tcW w:w="4940" w:type="dxa"/>
            <w:vAlign w:val="bottom"/>
            <w:gridSpan w:val="2"/>
          </w:tcPr>
          <w:p>
            <w:pPr>
              <w:ind w:left="200"/>
              <w:spacing w:after="0" w:line="153" w:lineRule="exact"/>
              <w:rPr>
                <w:sz w:val="20"/>
                <w:szCs w:val="20"/>
                <w:color w:val="auto"/>
              </w:rPr>
            </w:pPr>
            <w:r>
              <w:rPr>
                <w:rFonts w:ascii="Times New Roman" w:cs="Times New Roman" w:eastAsia="Times New Roman" w:hAnsi="Times New Roman"/>
                <w:sz w:val="14"/>
                <w:szCs w:val="14"/>
                <w:color w:val="auto"/>
                <w:w w:val="92"/>
              </w:rPr>
              <w:t>Section 12.7 Other Indebtedness or Obligations of Guarantors..............................................</w:t>
            </w:r>
          </w:p>
        </w:tc>
        <w:tc>
          <w:tcPr>
            <w:tcW w:w="7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160</w:t>
            </w:r>
          </w:p>
        </w:tc>
        <w:tc>
          <w:tcPr>
            <w:tcW w:w="340" w:type="dxa"/>
            <w:vAlign w:val="bottom"/>
          </w:tcPr>
          <w:p>
            <w:pPr>
              <w:spacing w:after="0"/>
              <w:rPr>
                <w:sz w:val="13"/>
                <w:szCs w:val="13"/>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12.8 Costs and Expenses................................</w:t>
            </w:r>
          </w:p>
        </w:tc>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160</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12.9 Exercising Rights, Etc............................</w:t>
            </w:r>
          </w:p>
        </w:tc>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161</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12.10 Benefit; Binding Effect..........................</w:t>
            </w:r>
          </w:p>
        </w:tc>
        <w:tc>
          <w:tcPr>
            <w:tcW w:w="1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161</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12.11 Multiple Guarantors................................</w:t>
            </w:r>
          </w:p>
        </w:tc>
        <w:tc>
          <w:tcPr>
            <w:tcW w:w="1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161</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12.12 Additional Guarantors............................</w:t>
            </w:r>
          </w:p>
        </w:tc>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161</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12.13 Reinstatement.........................................</w:t>
            </w:r>
          </w:p>
        </w:tc>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161</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88"/>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Section 12.14 Maximum Liability.................................</w:t>
            </w:r>
          </w:p>
        </w:tc>
        <w:tc>
          <w:tcPr>
            <w:tcW w:w="1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162</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702"/>
        </w:trPr>
        <w:tc>
          <w:tcPr>
            <w:tcW w:w="3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40" w:type="dxa"/>
            <w:vAlign w:val="bottom"/>
          </w:tcPr>
          <w:p>
            <w:pPr>
              <w:spacing w:after="0"/>
              <w:rPr>
                <w:sz w:val="24"/>
                <w:szCs w:val="24"/>
                <w:color w:val="auto"/>
              </w:rPr>
            </w:pPr>
          </w:p>
        </w:tc>
      </w:tr>
    </w:tbl>
    <w:p>
      <w:pPr>
        <w:sectPr>
          <w:pgSz w:w="11900" w:h="16838" w:orient="portrait"/>
          <w:cols w:equalWidth="0" w:num="1">
            <w:col w:w="11300"/>
          </w:cols>
          <w:pgMar w:left="300" w:top="287" w:right="29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560" w:type="dxa"/>
            <w:vAlign w:val="bottom"/>
            <w:gridSpan w:val="6"/>
          </w:tcPr>
          <w:p>
            <w:pPr>
              <w:jc w:val="center"/>
              <w:ind w:right="2020"/>
              <w:spacing w:after="0"/>
              <w:rPr>
                <w:sz w:val="20"/>
                <w:szCs w:val="20"/>
                <w:color w:val="auto"/>
              </w:rPr>
            </w:pPr>
            <w:r>
              <w:rPr>
                <w:rFonts w:ascii="Times New Roman" w:cs="Times New Roman" w:eastAsia="Times New Roman" w:hAnsi="Times New Roman"/>
                <w:sz w:val="14"/>
                <w:szCs w:val="14"/>
                <w:color w:val="auto"/>
              </w:rPr>
              <w:t>INDEX TO SCHEDULES</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Schedule</w:t>
            </w:r>
          </w:p>
        </w:tc>
        <w:tc>
          <w:tcPr>
            <w:tcW w:w="1240" w:type="dxa"/>
            <w:vAlign w:val="bottom"/>
          </w:tcPr>
          <w:p>
            <w:pPr>
              <w:spacing w:after="0"/>
              <w:rPr>
                <w:sz w:val="24"/>
                <w:szCs w:val="24"/>
                <w:color w:val="auto"/>
              </w:rPr>
            </w:pPr>
          </w:p>
        </w:tc>
        <w:tc>
          <w:tcPr>
            <w:tcW w:w="14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Description of Schedule</w:t>
            </w:r>
          </w:p>
        </w:tc>
        <w:tc>
          <w:tcPr>
            <w:tcW w:w="2880" w:type="dxa"/>
            <w:vAlign w:val="bottom"/>
            <w:gridSpan w:val="3"/>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Section</w:t>
            </w:r>
          </w:p>
        </w:tc>
        <w:tc>
          <w:tcPr>
            <w:tcW w:w="20" w:type="dxa"/>
            <w:vAlign w:val="bottom"/>
          </w:tcPr>
          <w:p>
            <w:pPr>
              <w:spacing w:after="0"/>
              <w:rPr>
                <w:sz w:val="24"/>
                <w:szCs w:val="24"/>
                <w:color w:val="auto"/>
              </w:rPr>
            </w:pPr>
          </w:p>
        </w:tc>
      </w:tr>
      <w:tr>
        <w:trPr>
          <w:trHeight w:val="393"/>
        </w:trPr>
        <w:tc>
          <w:tcPr>
            <w:tcW w:w="4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Commitments and Applicable Percentages</w:t>
            </w:r>
          </w:p>
        </w:tc>
        <w:tc>
          <w:tcPr>
            <w:tcW w:w="44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tcPr>
          <w:p>
            <w:pPr>
              <w:spacing w:after="0"/>
              <w:rPr>
                <w:sz w:val="24"/>
                <w:szCs w:val="24"/>
                <w:color w:val="auto"/>
              </w:rPr>
            </w:pPr>
          </w:p>
        </w:tc>
      </w:tr>
      <w:tr>
        <w:trPr>
          <w:trHeight w:val="198"/>
        </w:trPr>
        <w:tc>
          <w:tcPr>
            <w:tcW w:w="4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Existing Letters of Credit</w:t>
            </w:r>
          </w:p>
        </w:tc>
        <w:tc>
          <w:tcPr>
            <w:tcW w:w="44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7"/>
                <w:szCs w:val="17"/>
                <w:color w:val="auto"/>
              </w:rPr>
            </w:pPr>
          </w:p>
        </w:tc>
      </w:tr>
      <w:tr>
        <w:trPr>
          <w:trHeight w:val="198"/>
        </w:trPr>
        <w:tc>
          <w:tcPr>
            <w:tcW w:w="4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2.11</w:t>
            </w: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Deposit Accounts; Blocked Accounts</w:t>
            </w:r>
          </w:p>
        </w:tc>
        <w:tc>
          <w:tcPr>
            <w:tcW w:w="44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w w:val="97"/>
              </w:rPr>
              <w:t>2.11</w:t>
            </w:r>
          </w:p>
        </w:tc>
        <w:tc>
          <w:tcPr>
            <w:tcW w:w="20" w:type="dxa"/>
            <w:vAlign w:val="bottom"/>
          </w:tcPr>
          <w:p>
            <w:pPr>
              <w:spacing w:after="0"/>
              <w:rPr>
                <w:sz w:val="17"/>
                <w:szCs w:val="17"/>
                <w:color w:val="auto"/>
              </w:rPr>
            </w:pPr>
          </w:p>
        </w:tc>
      </w:tr>
      <w:tr>
        <w:trPr>
          <w:trHeight w:val="198"/>
        </w:trPr>
        <w:tc>
          <w:tcPr>
            <w:tcW w:w="4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5.5</w:t>
            </w: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Litigation and Judgments</w:t>
            </w:r>
          </w:p>
        </w:tc>
        <w:tc>
          <w:tcPr>
            <w:tcW w:w="44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1720" w:type="dxa"/>
            <w:vAlign w:val="bottom"/>
            <w:gridSpan w:val="3"/>
          </w:tcPr>
          <w:p>
            <w:pPr>
              <w:jc w:val="center"/>
              <w:ind w:right="1140"/>
              <w:spacing w:after="0"/>
              <w:rPr>
                <w:sz w:val="20"/>
                <w:szCs w:val="20"/>
                <w:color w:val="auto"/>
              </w:rPr>
            </w:pPr>
            <w:r>
              <w:rPr>
                <w:rFonts w:ascii="Times New Roman" w:cs="Times New Roman" w:eastAsia="Times New Roman" w:hAnsi="Times New Roman"/>
                <w:sz w:val="14"/>
                <w:szCs w:val="14"/>
                <w:color w:val="auto"/>
              </w:rPr>
              <w:t>5.6(b)</w:t>
            </w: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Owned Real Property</w:t>
            </w:r>
          </w:p>
        </w:tc>
        <w:tc>
          <w:tcPr>
            <w:tcW w:w="44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1720" w:type="dxa"/>
            <w:vAlign w:val="bottom"/>
            <w:gridSpan w:val="3"/>
          </w:tcPr>
          <w:p>
            <w:pPr>
              <w:jc w:val="center"/>
              <w:ind w:right="1140"/>
              <w:spacing w:after="0"/>
              <w:rPr>
                <w:sz w:val="20"/>
                <w:szCs w:val="20"/>
                <w:color w:val="auto"/>
              </w:rPr>
            </w:pPr>
            <w:r>
              <w:rPr>
                <w:rFonts w:ascii="Times New Roman" w:cs="Times New Roman" w:eastAsia="Times New Roman" w:hAnsi="Times New Roman"/>
                <w:sz w:val="14"/>
                <w:szCs w:val="14"/>
                <w:color w:val="auto"/>
              </w:rPr>
              <w:t>5.6(c)</w:t>
            </w: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Leased Real Property (Lessee)</w:t>
            </w:r>
          </w:p>
        </w:tc>
        <w:tc>
          <w:tcPr>
            <w:tcW w:w="44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7"/>
                <w:szCs w:val="17"/>
                <w:color w:val="auto"/>
              </w:rPr>
            </w:pPr>
          </w:p>
        </w:tc>
      </w:tr>
      <w:tr>
        <w:trPr>
          <w:trHeight w:val="198"/>
        </w:trPr>
        <w:tc>
          <w:tcPr>
            <w:tcW w:w="4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5.9</w:t>
            </w: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Taxes</w:t>
            </w:r>
          </w:p>
        </w:tc>
        <w:tc>
          <w:tcPr>
            <w:tcW w:w="44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7"/>
                <w:szCs w:val="17"/>
                <w:color w:val="auto"/>
              </w:rPr>
            </w:pPr>
          </w:p>
        </w:tc>
      </w:tr>
      <w:tr>
        <w:trPr>
          <w:trHeight w:val="198"/>
        </w:trPr>
        <w:tc>
          <w:tcPr>
            <w:tcW w:w="4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5.13</w:t>
            </w: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Subsidiaries</w:t>
            </w:r>
          </w:p>
        </w:tc>
        <w:tc>
          <w:tcPr>
            <w:tcW w:w="44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5.13</w:t>
            </w:r>
          </w:p>
        </w:tc>
        <w:tc>
          <w:tcPr>
            <w:tcW w:w="20" w:type="dxa"/>
            <w:vAlign w:val="bottom"/>
          </w:tcPr>
          <w:p>
            <w:pPr>
              <w:spacing w:after="0"/>
              <w:rPr>
                <w:sz w:val="17"/>
                <w:szCs w:val="17"/>
                <w:color w:val="auto"/>
              </w:rPr>
            </w:pPr>
          </w:p>
        </w:tc>
      </w:tr>
      <w:tr>
        <w:trPr>
          <w:trHeight w:val="198"/>
        </w:trPr>
        <w:tc>
          <w:tcPr>
            <w:tcW w:w="4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5.26</w:t>
            </w: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Material Agreements</w:t>
            </w:r>
          </w:p>
        </w:tc>
        <w:tc>
          <w:tcPr>
            <w:tcW w:w="44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5.26</w:t>
            </w:r>
          </w:p>
        </w:tc>
        <w:tc>
          <w:tcPr>
            <w:tcW w:w="20" w:type="dxa"/>
            <w:vAlign w:val="bottom"/>
          </w:tcPr>
          <w:p>
            <w:pPr>
              <w:spacing w:after="0"/>
              <w:rPr>
                <w:sz w:val="17"/>
                <w:szCs w:val="17"/>
                <w:color w:val="auto"/>
              </w:rPr>
            </w:pPr>
          </w:p>
        </w:tc>
      </w:tr>
      <w:tr>
        <w:trPr>
          <w:trHeight w:val="198"/>
        </w:trPr>
        <w:tc>
          <w:tcPr>
            <w:tcW w:w="4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7.1</w:t>
            </w: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Existing Debt</w:t>
            </w:r>
          </w:p>
        </w:tc>
        <w:tc>
          <w:tcPr>
            <w:tcW w:w="44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tcPr>
          <w:p>
            <w:pPr>
              <w:spacing w:after="0"/>
              <w:rPr>
                <w:sz w:val="17"/>
                <w:szCs w:val="17"/>
                <w:color w:val="auto"/>
              </w:rPr>
            </w:pPr>
          </w:p>
        </w:tc>
      </w:tr>
      <w:tr>
        <w:trPr>
          <w:trHeight w:val="198"/>
        </w:trPr>
        <w:tc>
          <w:tcPr>
            <w:tcW w:w="4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7.2</w:t>
            </w: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Existing Liens</w:t>
            </w:r>
          </w:p>
        </w:tc>
        <w:tc>
          <w:tcPr>
            <w:tcW w:w="44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7"/>
                <w:szCs w:val="17"/>
                <w:color w:val="auto"/>
              </w:rPr>
            </w:pPr>
          </w:p>
        </w:tc>
      </w:tr>
      <w:tr>
        <w:trPr>
          <w:trHeight w:val="198"/>
        </w:trPr>
        <w:tc>
          <w:tcPr>
            <w:tcW w:w="48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rPr>
              <w:t>7.5</w:t>
            </w: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Existing Investments</w:t>
            </w:r>
          </w:p>
        </w:tc>
        <w:tc>
          <w:tcPr>
            <w:tcW w:w="44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7.5</w:t>
            </w:r>
          </w:p>
        </w:tc>
        <w:tc>
          <w:tcPr>
            <w:tcW w:w="20" w:type="dxa"/>
            <w:vAlign w:val="bottom"/>
          </w:tcPr>
          <w:p>
            <w:pPr>
              <w:spacing w:after="0"/>
              <w:rPr>
                <w:sz w:val="17"/>
                <w:szCs w:val="17"/>
                <w:color w:val="auto"/>
              </w:rPr>
            </w:pPr>
          </w:p>
        </w:tc>
      </w:tr>
      <w:tr>
        <w:trPr>
          <w:trHeight w:val="198"/>
        </w:trPr>
        <w:tc>
          <w:tcPr>
            <w:tcW w:w="54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color w:val="auto"/>
                <w:w w:val="95"/>
              </w:rPr>
              <w:t>11.11</w:t>
            </w:r>
          </w:p>
        </w:tc>
        <w:tc>
          <w:tcPr>
            <w:tcW w:w="1240" w:type="dxa"/>
            <w:vAlign w:val="bottom"/>
          </w:tcPr>
          <w:p>
            <w:pPr>
              <w:spacing w:after="0"/>
              <w:rPr>
                <w:sz w:val="17"/>
                <w:szCs w:val="17"/>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Notices</w:t>
            </w:r>
          </w:p>
        </w:tc>
        <w:tc>
          <w:tcPr>
            <w:tcW w:w="4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11.11</w:t>
            </w:r>
          </w:p>
        </w:tc>
      </w:tr>
      <w:tr>
        <w:trPr>
          <w:trHeight w:val="406"/>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INDEX TO EXHIBITS</w:t>
            </w:r>
          </w:p>
        </w:tc>
        <w:tc>
          <w:tcPr>
            <w:tcW w:w="210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78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color w:val="auto"/>
              </w:rPr>
              <w:t>Exhibit</w:t>
            </w: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Description of Exhibit</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w:t>
            </w: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3"/>
        </w:trPr>
        <w:tc>
          <w:tcPr>
            <w:tcW w:w="6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w:t>
            </w:r>
          </w:p>
        </w:tc>
        <w:tc>
          <w:tcPr>
            <w:tcW w:w="1300" w:type="dxa"/>
            <w:vAlign w:val="bottom"/>
            <w:gridSpan w:val="2"/>
          </w:tcPr>
          <w:p>
            <w:pPr>
              <w:spacing w:after="0"/>
              <w:rPr>
                <w:sz w:val="24"/>
                <w:szCs w:val="24"/>
                <w:color w:val="auto"/>
              </w:rPr>
            </w:pP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Assignment and Assumption</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24"/>
                <w:szCs w:val="24"/>
                <w:color w:val="auto"/>
              </w:rPr>
            </w:pPr>
          </w:p>
        </w:tc>
      </w:tr>
      <w:tr>
        <w:trPr>
          <w:trHeight w:val="198"/>
        </w:trPr>
        <w:tc>
          <w:tcPr>
            <w:tcW w:w="60" w:type="dxa"/>
            <w:vAlign w:val="bottom"/>
          </w:tcPr>
          <w:p>
            <w:pPr>
              <w:spacing w:after="0"/>
              <w:rPr>
                <w:sz w:val="17"/>
                <w:szCs w:val="17"/>
                <w:color w:val="auto"/>
              </w:rPr>
            </w:pPr>
          </w:p>
        </w:tc>
        <w:tc>
          <w:tcPr>
            <w:tcW w:w="172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color w:val="auto"/>
              </w:rPr>
              <w:t>B</w:t>
            </w: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Borrowing Base Report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172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color w:val="auto"/>
              </w:rPr>
              <w:t>C</w:t>
            </w: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Compliance Certificate</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172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color w:val="auto"/>
                <w:w w:val="98"/>
              </w:rPr>
              <w:t>D</w:t>
            </w: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Borrowing Request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172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color w:val="auto"/>
              </w:rPr>
              <w:t>E</w:t>
            </w: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Note</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1720" w:type="dxa"/>
            <w:vAlign w:val="bottom"/>
            <w:gridSpan w:val="3"/>
          </w:tcPr>
          <w:p>
            <w:pPr>
              <w:jc w:val="center"/>
              <w:ind w:right="1280"/>
              <w:spacing w:after="0"/>
              <w:rPr>
                <w:sz w:val="20"/>
                <w:szCs w:val="20"/>
                <w:color w:val="auto"/>
              </w:rPr>
            </w:pPr>
            <w:r>
              <w:rPr>
                <w:rFonts w:ascii="Times New Roman" w:cs="Times New Roman" w:eastAsia="Times New Roman" w:hAnsi="Times New Roman"/>
                <w:sz w:val="14"/>
                <w:szCs w:val="14"/>
                <w:color w:val="auto"/>
              </w:rPr>
              <w:t>F</w:t>
            </w: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Swing Line Loan Request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7"/>
                <w:szCs w:val="17"/>
                <w:color w:val="auto"/>
              </w:rPr>
            </w:pPr>
          </w:p>
        </w:tc>
      </w:tr>
      <w:tr>
        <w:trPr>
          <w:trHeight w:val="198"/>
        </w:trPr>
        <w:tc>
          <w:tcPr>
            <w:tcW w:w="60" w:type="dxa"/>
            <w:vAlign w:val="bottom"/>
          </w:tcPr>
          <w:p>
            <w:pPr>
              <w:spacing w:after="0"/>
              <w:rPr>
                <w:sz w:val="17"/>
                <w:szCs w:val="17"/>
                <w:color w:val="auto"/>
              </w:rPr>
            </w:pPr>
          </w:p>
        </w:tc>
        <w:tc>
          <w:tcPr>
            <w:tcW w:w="172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color w:val="auto"/>
                <w:w w:val="98"/>
              </w:rPr>
              <w:t>G</w:t>
            </w: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Tax Forms</w:t>
            </w:r>
          </w:p>
        </w:tc>
        <w:tc>
          <w:tcPr>
            <w:tcW w:w="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3.4(g)</w:t>
            </w:r>
          </w:p>
        </w:tc>
      </w:tr>
      <w:tr>
        <w:trPr>
          <w:trHeight w:val="198"/>
        </w:trPr>
        <w:tc>
          <w:tcPr>
            <w:tcW w:w="60" w:type="dxa"/>
            <w:vAlign w:val="bottom"/>
          </w:tcPr>
          <w:p>
            <w:pPr>
              <w:spacing w:after="0"/>
              <w:rPr>
                <w:sz w:val="17"/>
                <w:szCs w:val="17"/>
                <w:color w:val="auto"/>
              </w:rPr>
            </w:pPr>
          </w:p>
        </w:tc>
        <w:tc>
          <w:tcPr>
            <w:tcW w:w="172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color w:val="auto"/>
                <w:w w:val="98"/>
              </w:rPr>
              <w:t>H</w:t>
            </w:r>
          </w:p>
        </w:tc>
        <w:tc>
          <w:tcPr>
            <w:tcW w:w="428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Joinder Agreement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60"/>
          </w:cols>
          <w:pgMar w:left="1440" w:top="287" w:right="29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AMENDED AND RESTATED CREDIT AGREEMENT</w:t>
      </w:r>
    </w:p>
    <w:p>
      <w:pPr>
        <w:spacing w:after="0" w:line="16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b w:val="1"/>
          <w:bCs w:val="1"/>
          <w:color w:val="auto"/>
        </w:rPr>
        <w:t>AMENDED AND RESTATED CREDIT AGREEMENT</w:t>
      </w:r>
      <w:r>
        <w:rPr>
          <w:rFonts w:ascii="Times New Roman" w:cs="Times New Roman" w:eastAsia="Times New Roman" w:hAnsi="Times New Roman"/>
          <w:sz w:val="14"/>
          <w:szCs w:val="14"/>
          <w:color w:val="auto"/>
        </w:rPr>
        <w:t xml:space="preserve"> dated as of February 28, 2023 (as the same may be amended, restated, supplemented or otherwise modified from time to time, this “</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xml:space="preserve">”), is among </w:t>
      </w:r>
      <w:r>
        <w:rPr>
          <w:rFonts w:ascii="Times New Roman" w:cs="Times New Roman" w:eastAsia="Times New Roman" w:hAnsi="Times New Roman"/>
          <w:sz w:val="14"/>
          <w:szCs w:val="14"/>
          <w:b w:val="1"/>
          <w:bCs w:val="1"/>
          <w:color w:val="auto"/>
        </w:rPr>
        <w:t>NATURAL GAS SERVICES GROUP, INC.</w:t>
      </w:r>
      <w:r>
        <w:rPr>
          <w:rFonts w:ascii="Times New Roman" w:cs="Times New Roman" w:eastAsia="Times New Roman" w:hAnsi="Times New Roman"/>
          <w:sz w:val="14"/>
          <w:szCs w:val="14"/>
          <w:color w:val="auto"/>
        </w:rPr>
        <w:t>, a Colorado corporation (“</w:t>
      </w:r>
      <w:r>
        <w:rPr>
          <w:rFonts w:ascii="Times New Roman" w:cs="Times New Roman" w:eastAsia="Times New Roman" w:hAnsi="Times New Roman"/>
          <w:sz w:val="14"/>
          <w:szCs w:val="14"/>
          <w:b w:val="1"/>
          <w:bCs w:val="1"/>
          <w:i w:val="1"/>
          <w:iCs w:val="1"/>
          <w:color w:val="auto"/>
        </w:rPr>
        <w:t>Holdings</w:t>
      </w:r>
      <w:r>
        <w:rPr>
          <w:rFonts w:ascii="Times New Roman" w:cs="Times New Roman" w:eastAsia="Times New Roman" w:hAnsi="Times New Roman"/>
          <w:sz w:val="14"/>
          <w:szCs w:val="14"/>
          <w:color w:val="auto"/>
        </w:rPr>
        <w:t xml:space="preserve">”; and together with any Domestic Subsidiary of Holdings that becomes a party hereto as a “Borrower” pursuant to </w:t>
      </w:r>
      <w:r>
        <w:rPr>
          <w:rFonts w:ascii="Times New Roman" w:cs="Times New Roman" w:eastAsia="Times New Roman" w:hAnsi="Times New Roman"/>
          <w:sz w:val="14"/>
          <w:szCs w:val="14"/>
          <w:b w:val="1"/>
          <w:bCs w:val="1"/>
          <w:i w:val="1"/>
          <w:iCs w:val="1"/>
          <w:color w:val="auto"/>
        </w:rPr>
        <w:t>Section 6.13</w:t>
      </w:r>
      <w:r>
        <w:rPr>
          <w:rFonts w:ascii="Times New Roman" w:cs="Times New Roman" w:eastAsia="Times New Roman" w:hAnsi="Times New Roman"/>
          <w:sz w:val="14"/>
          <w:szCs w:val="14"/>
          <w:color w:val="auto"/>
        </w:rPr>
        <w:t>, including their permitted successors and assigns, individually, a “</w:t>
      </w:r>
      <w:r>
        <w:rPr>
          <w:rFonts w:ascii="Times New Roman" w:cs="Times New Roman" w:eastAsia="Times New Roman" w:hAnsi="Times New Roman"/>
          <w:sz w:val="14"/>
          <w:szCs w:val="14"/>
          <w:b w:val="1"/>
          <w:bCs w:val="1"/>
          <w:i w:val="1"/>
          <w:iCs w:val="1"/>
          <w:color w:val="auto"/>
        </w:rPr>
        <w:t>Borrower</w:t>
      </w:r>
      <w:r>
        <w:rPr>
          <w:rFonts w:ascii="Times New Roman" w:cs="Times New Roman" w:eastAsia="Times New Roman" w:hAnsi="Times New Roman"/>
          <w:sz w:val="14"/>
          <w:szCs w:val="14"/>
          <w:color w:val="auto"/>
        </w:rPr>
        <w:t>” and collectively, “</w:t>
      </w:r>
      <w:r>
        <w:rPr>
          <w:rFonts w:ascii="Times New Roman" w:cs="Times New Roman" w:eastAsia="Times New Roman" w:hAnsi="Times New Roman"/>
          <w:sz w:val="14"/>
          <w:szCs w:val="14"/>
          <w:b w:val="1"/>
          <w:bCs w:val="1"/>
          <w:i w:val="1"/>
          <w:iCs w:val="1"/>
          <w:color w:val="auto"/>
        </w:rPr>
        <w:t>Borrowers</w:t>
      </w:r>
      <w:r>
        <w:rPr>
          <w:rFonts w:ascii="Times New Roman" w:cs="Times New Roman" w:eastAsia="Times New Roman" w:hAnsi="Times New Roman"/>
          <w:sz w:val="14"/>
          <w:szCs w:val="14"/>
          <w:color w:val="auto"/>
        </w:rPr>
        <w:t xml:space="preserve">”), each of the other Loan Parties from time to time party hereto, the Lenders from time to time party hereto, and </w:t>
      </w:r>
      <w:r>
        <w:rPr>
          <w:rFonts w:ascii="Times New Roman" w:cs="Times New Roman" w:eastAsia="Times New Roman" w:hAnsi="Times New Roman"/>
          <w:sz w:val="14"/>
          <w:szCs w:val="14"/>
          <w:b w:val="1"/>
          <w:bCs w:val="1"/>
          <w:color w:val="auto"/>
        </w:rPr>
        <w:t>TEXAS CAPITAL BANK</w:t>
      </w:r>
      <w:r>
        <w:rPr>
          <w:rFonts w:ascii="Times New Roman" w:cs="Times New Roman" w:eastAsia="Times New Roman" w:hAnsi="Times New Roman"/>
          <w:sz w:val="14"/>
          <w:szCs w:val="14"/>
          <w:color w:val="auto"/>
        </w:rPr>
        <w:t>, a state bank, as Administrative Agent, Swing Line Lender and L/C Issuer.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RECITALS</w:t>
      </w:r>
    </w:p>
    <w:p>
      <w:pPr>
        <w:spacing w:after="0" w:line="10"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14"/>
          <w:szCs w:val="14"/>
          <w:color w:val="auto"/>
        </w:rPr>
        <w:t>A. Borrowers, Administrative Agent and the financial institutions party thereto as lenders are parties to that certain Credit Agreement dated as of May 11, 2021 (as amended, supplemented or otherwise modified prior to the Closing Date, the “</w:t>
      </w:r>
      <w:r>
        <w:rPr>
          <w:rFonts w:ascii="Times New Roman" w:cs="Times New Roman" w:eastAsia="Times New Roman" w:hAnsi="Times New Roman"/>
          <w:sz w:val="14"/>
          <w:szCs w:val="14"/>
          <w:b w:val="1"/>
          <w:bCs w:val="1"/>
          <w:i w:val="1"/>
          <w:iCs w:val="1"/>
          <w:color w:val="auto"/>
        </w:rPr>
        <w:t>Existing Credit Agreement</w:t>
      </w:r>
      <w:r>
        <w:rPr>
          <w:rFonts w:ascii="Times New Roman" w:cs="Times New Roman" w:eastAsia="Times New Roman" w:hAnsi="Times New Roman"/>
          <w:sz w:val="14"/>
          <w:szCs w:val="14"/>
          <w:color w:val="auto"/>
        </w:rPr>
        <w:t>”) pursuant to which the lenders thereunder provided the Borrower with certain loans and other extensions of credit.</w:t>
      </w:r>
    </w:p>
    <w:p>
      <w:pPr>
        <w:spacing w:after="0" w:line="160"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4"/>
          <w:szCs w:val="14"/>
          <w:color w:val="auto"/>
        </w:rPr>
        <w:t>B. The parties hereto desire to amend and restate the Existing Credit Agreement in the form of this Agreement to extend credit to Borrowers as described in this Agreement. Lenders are willing to make such credit available to Borrowers upon and subject to the provisions, terms and conditions hereinafter set forth.</w:t>
      </w:r>
    </w:p>
    <w:p>
      <w:pPr>
        <w:spacing w:after="0" w:line="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color w:val="auto"/>
        </w:rPr>
        <w:t>NOW THEREFORE, in consideration of the premises and the mutual covenants herein contained, the parties hereto agree that the Existing Credit Agreement shall be amended and restated in its entirety on (and subject to) the terms and conditions set forth herein. The parties hereto agree as follows: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1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Article 1.</w:t>
      </w:r>
    </w:p>
    <w:p>
      <w:pPr>
        <w:spacing w:after="0" w:line="1"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xml:space="preserve"> As used in this Agreement, all exhibits, appendices and schedules hereto and in any note, certificate, report or other Loan Document made or delivered pursuant to this Agreement, the following terms will have the meanings given such terms in this </w:t>
      </w:r>
      <w:r>
        <w:rPr>
          <w:rFonts w:ascii="Times New Roman" w:cs="Times New Roman" w:eastAsia="Times New Roman" w:hAnsi="Times New Roman"/>
          <w:sz w:val="14"/>
          <w:szCs w:val="14"/>
          <w:b w:val="1"/>
          <w:bCs w:val="1"/>
          <w:i w:val="1"/>
          <w:iCs w:val="1"/>
          <w:color w:val="auto"/>
        </w:rPr>
        <w:t>Article 1</w:t>
      </w:r>
      <w:r>
        <w:rPr>
          <w:rFonts w:ascii="Times New Roman" w:cs="Times New Roman" w:eastAsia="Times New Roman" w:hAnsi="Times New Roman"/>
          <w:sz w:val="14"/>
          <w:szCs w:val="14"/>
          <w:color w:val="auto"/>
        </w:rPr>
        <w:t xml:space="preserve"> or in the provision, section or recital referred to below:</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Account</w:t>
      </w:r>
      <w:r>
        <w:rPr>
          <w:rFonts w:ascii="Times New Roman" w:cs="Times New Roman" w:eastAsia="Times New Roman" w:hAnsi="Times New Roman"/>
          <w:sz w:val="14"/>
          <w:szCs w:val="14"/>
          <w:color w:val="auto"/>
        </w:rPr>
        <w:t>” means an account, as defined in the UCC.</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Account Agings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6.1(m)</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Additional Guarantor</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12.12</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Adjusted Term SOFR</w:t>
      </w:r>
      <w:r>
        <w:rPr>
          <w:rFonts w:ascii="Times New Roman" w:cs="Times New Roman" w:eastAsia="Times New Roman" w:hAnsi="Times New Roman"/>
          <w:sz w:val="14"/>
          <w:szCs w:val="14"/>
          <w:color w:val="auto"/>
        </w:rPr>
        <w:t xml:space="preserve">” means, for purposes of any calculation, the rate per annum equal to (a) Term SOFR for such calculation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(b) the Term SOFR Adjustment;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Adjusted Term SOFR as so determined shall ever be less than the Floor, then Adjusted Term SOFR shall be deemed to be the Floor.</w:t>
      </w: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Administrative Agent</w:t>
      </w:r>
      <w:r>
        <w:rPr>
          <w:rFonts w:ascii="Times New Roman" w:cs="Times New Roman" w:eastAsia="Times New Roman" w:hAnsi="Times New Roman"/>
          <w:sz w:val="14"/>
          <w:szCs w:val="14"/>
          <w:color w:val="auto"/>
        </w:rPr>
        <w:t>” means Texas Capital Bank, in its capacity as administrative agent under any of the Loan Documents, until the appointment of a successor administrative agent pursuant to the terms of this Agreement and, thereafter, shall mean such successor administrative agent.</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Administrative Questionnaire</w:t>
      </w:r>
      <w:r>
        <w:rPr>
          <w:rFonts w:ascii="Times New Roman" w:cs="Times New Roman" w:eastAsia="Times New Roman" w:hAnsi="Times New Roman"/>
          <w:sz w:val="14"/>
          <w:szCs w:val="14"/>
          <w:color w:val="auto"/>
        </w:rPr>
        <w:t>” means an Administrative Questionnaire in a form supplied by or reasonably acceptable to Administrative Agent.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Affected Financial Institution</w:t>
      </w:r>
      <w:r>
        <w:rPr>
          <w:rFonts w:ascii="Times New Roman" w:cs="Times New Roman" w:eastAsia="Times New Roman" w:hAnsi="Times New Roman"/>
          <w:sz w:val="14"/>
          <w:szCs w:val="14"/>
          <w:color w:val="auto"/>
        </w:rPr>
        <w:t>” means (a) any EEA Financial Institution or (b) any UK Financial Institution.</w:t>
      </w:r>
    </w:p>
    <w:p>
      <w:pPr>
        <w:spacing w:after="0" w:line="31" w:lineRule="exact"/>
        <w:rPr>
          <w:sz w:val="20"/>
          <w:szCs w:val="20"/>
          <w:color w:val="auto"/>
        </w:rPr>
      </w:pPr>
    </w:p>
    <w:p>
      <w:pPr>
        <w:ind w:firstLine="43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Affiliate</w:t>
      </w:r>
      <w:r>
        <w:rPr>
          <w:rFonts w:ascii="Times New Roman" w:cs="Times New Roman" w:eastAsia="Times New Roman" w:hAnsi="Times New Roman"/>
          <w:sz w:val="14"/>
          <w:szCs w:val="14"/>
          <w:color w:val="auto"/>
        </w:rPr>
        <w:t>” means, as to any Person, any other Person (a) that directly or indirectly, through one or more intermediaries, controls or is controlled by, or is under common control with, such Person; (b) that directly or indirectly beneficially owns or holds 10% or more of any class of voting stock of such Person;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300"/>
          </w:cols>
          <w:pgMar w:left="300" w:top="287" w:right="29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or (c) 10% or more of the voting stock of which is directly or indirectly beneficially owned or held by such Person. The term “</w:t>
      </w:r>
      <w:r>
        <w:rPr>
          <w:rFonts w:ascii="Times New Roman" w:cs="Times New Roman" w:eastAsia="Times New Roman" w:hAnsi="Times New Roman"/>
          <w:sz w:val="14"/>
          <w:szCs w:val="14"/>
          <w:b w:val="1"/>
          <w:bCs w:val="1"/>
          <w:i w:val="1"/>
          <w:iCs w:val="1"/>
          <w:color w:val="auto"/>
        </w:rPr>
        <w:t>control</w:t>
      </w:r>
      <w:r>
        <w:rPr>
          <w:rFonts w:ascii="Times New Roman" w:cs="Times New Roman" w:eastAsia="Times New Roman" w:hAnsi="Times New Roman"/>
          <w:sz w:val="14"/>
          <w:szCs w:val="14"/>
          <w:color w:val="auto"/>
        </w:rPr>
        <w:t xml:space="preserve">” means the possession, directly or indirectly, of the power to direct or cause direction of the management or policies of a Person, whether through the ownership of voting securities, by contract, or otherwise;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in no event shall any Lender be deemed an Affiliate of Holdings, any Borrower or any of their respective Subsidiaries or Affiliates.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Affiliated Debt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12.5</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Agent Parties</w:t>
      </w:r>
      <w:r>
        <w:rPr>
          <w:rFonts w:ascii="Times New Roman" w:cs="Times New Roman" w:eastAsia="Times New Roman" w:hAnsi="Times New Roman"/>
          <w:sz w:val="14"/>
          <w:szCs w:val="14"/>
          <w:color w:val="auto"/>
        </w:rPr>
        <w:t>” means, collectively, Administrative Agent or any of its Related Parties.</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Agreement</w:t>
      </w:r>
      <w:r>
        <w:rPr>
          <w:rFonts w:ascii="Times New Roman" w:cs="Times New Roman" w:eastAsia="Times New Roman" w:hAnsi="Times New Roman"/>
          <w:sz w:val="14"/>
          <w:szCs w:val="14"/>
          <w:color w:val="auto"/>
        </w:rPr>
        <w:t>” has the meaning set forth in the introductory paragraph hereto, and includes all schedules, exhibits and appendices attached or otherwise identified therewith.</w:t>
      </w:r>
    </w:p>
    <w:p>
      <w:pPr>
        <w:spacing w:after="0" w:line="3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Annualized EBITDA</w:t>
      </w:r>
      <w:r>
        <w:rPr>
          <w:rFonts w:ascii="Times New Roman" w:cs="Times New Roman" w:eastAsia="Times New Roman" w:hAnsi="Times New Roman"/>
          <w:sz w:val="14"/>
          <w:szCs w:val="14"/>
          <w:color w:val="auto"/>
        </w:rPr>
        <w:t xml:space="preserve">” means, for any date of determination, the EBITDA of Holdings and its Subsidiaries on a consolidated basis (in accordance with GAAP) for the fiscal quarter period then ending </w:t>
      </w:r>
      <w:r>
        <w:rPr>
          <w:rFonts w:ascii="Times New Roman" w:cs="Times New Roman" w:eastAsia="Times New Roman" w:hAnsi="Times New Roman"/>
          <w:sz w:val="14"/>
          <w:szCs w:val="14"/>
          <w:i w:val="1"/>
          <w:iCs w:val="1"/>
          <w:u w:val="single" w:color="auto"/>
          <w:color w:val="auto"/>
        </w:rPr>
        <w:t>multiplied</w:t>
      </w:r>
      <w:r>
        <w:rPr>
          <w:rFonts w:ascii="Times New Roman" w:cs="Times New Roman" w:eastAsia="Times New Roman" w:hAnsi="Times New Roman"/>
          <w:sz w:val="14"/>
          <w:szCs w:val="14"/>
          <w:color w:val="auto"/>
        </w:rPr>
        <w:t xml:space="preserve"> by four (4).</w:t>
      </w:r>
    </w:p>
    <w:p>
      <w:pPr>
        <w:spacing w:after="0" w:line="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Anti-Corruption Laws</w:t>
      </w:r>
      <w:r>
        <w:rPr>
          <w:rFonts w:ascii="Times New Roman" w:cs="Times New Roman" w:eastAsia="Times New Roman" w:hAnsi="Times New Roman"/>
          <w:sz w:val="14"/>
          <w:szCs w:val="14"/>
          <w:color w:val="auto"/>
        </w:rPr>
        <w:t>” means all state or federal Laws, rules, and regulations applicable to the Loan Parties or any of their Affiliates from time to time concerning or relating to bribery or corruption, including the FCPA and the Bank Secrecy Act, and other similar anti-corruption legislation in other jurisdictions.</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Anti-Terrorism Laws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5.21</w:t>
      </w:r>
      <w:r>
        <w:rPr>
          <w:rFonts w:ascii="Times New Roman" w:cs="Times New Roman" w:eastAsia="Times New Roman" w:hAnsi="Times New Roman"/>
          <w:sz w:val="14"/>
          <w:szCs w:val="14"/>
          <w:color w:val="auto"/>
        </w:rPr>
        <w:t>.</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Applicable Margin</w:t>
      </w:r>
      <w:r>
        <w:rPr>
          <w:rFonts w:ascii="Times New Roman" w:cs="Times New Roman" w:eastAsia="Times New Roman" w:hAnsi="Times New Roman"/>
          <w:sz w:val="14"/>
          <w:szCs w:val="14"/>
          <w:color w:val="auto"/>
        </w:rPr>
        <w:t>” means the applicable percentages per annum set forth below, based upon the Leverage Ratio, as set forth in the most recent Compliance Certificate received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Administrative Agent for each fiscal quarter from time to time pursuant to </w:t>
      </w:r>
      <w:r>
        <w:rPr>
          <w:rFonts w:ascii="Times New Roman" w:cs="Times New Roman" w:eastAsia="Times New Roman" w:hAnsi="Times New Roman"/>
          <w:sz w:val="14"/>
          <w:szCs w:val="14"/>
          <w:b w:val="1"/>
          <w:bCs w:val="1"/>
          <w:i w:val="1"/>
          <w:iCs w:val="1"/>
          <w:color w:val="auto"/>
        </w:rPr>
        <w:t>Section 6.1(d)</w:t>
      </w:r>
      <w:r>
        <w:rPr>
          <w:rFonts w:ascii="Times New Roman" w:cs="Times New Roman" w:eastAsia="Times New Roman" w:hAnsi="Times New Roman"/>
          <w:sz w:val="14"/>
          <w:szCs w:val="14"/>
          <w:color w:val="auto"/>
        </w:rPr>
        <w:t>:</w:t>
      </w:r>
    </w:p>
    <w:p>
      <w:pPr>
        <w:spacing w:after="0" w:line="73" w:lineRule="exact"/>
        <w:rPr>
          <w:sz w:val="20"/>
          <w:szCs w:val="20"/>
          <w:color w:val="auto"/>
        </w:rPr>
      </w:pPr>
    </w:p>
    <w:tbl>
      <w:tblPr>
        <w:tblLayout w:type="fixed"/>
        <w:tblInd w:w="430" w:type="dxa"/>
        <w:tblCellMar>
          <w:top w:w="0" w:type="dxa"/>
          <w:left w:w="0" w:type="dxa"/>
          <w:bottom w:w="0" w:type="dxa"/>
          <w:right w:w="0" w:type="dxa"/>
        </w:tblCellMar>
      </w:tblPr>
      <w:tr>
        <w:trPr>
          <w:trHeight w:val="169"/>
        </w:trPr>
        <w:tc>
          <w:tcPr>
            <w:tcW w:w="150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2600" w:type="dxa"/>
            <w:vAlign w:val="bottom"/>
            <w:tcBorders>
              <w:top w:val="single" w:sz="8" w:color="auto"/>
              <w:right w:val="single" w:sz="8" w:color="auto"/>
            </w:tcBorders>
            <w:shd w:val="clear" w:color="auto" w:fill="BFBFBF"/>
          </w:tcPr>
          <w:p>
            <w:pPr>
              <w:ind w:left="820"/>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20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4"/>
                <w:szCs w:val="14"/>
                <w:b w:val="1"/>
                <w:bCs w:val="1"/>
                <w:color w:val="auto"/>
              </w:rPr>
              <w:t>Base Rate Loans</w:t>
            </w:r>
          </w:p>
        </w:tc>
        <w:tc>
          <w:tcPr>
            <w:tcW w:w="206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4"/>
                <w:szCs w:val="14"/>
                <w:b w:val="1"/>
                <w:bCs w:val="1"/>
                <w:color w:val="auto"/>
              </w:rPr>
              <w:t>Term SOFR Loans and Letter of</w:t>
            </w:r>
          </w:p>
        </w:tc>
        <w:tc>
          <w:tcPr>
            <w:tcW w:w="2080" w:type="dxa"/>
            <w:vAlign w:val="bottom"/>
            <w:tcBorders>
              <w:top w:val="single" w:sz="8" w:color="auto"/>
              <w:right w:val="single" w:sz="8" w:color="auto"/>
            </w:tcBorders>
            <w:shd w:val="clear" w:color="auto" w:fill="BFBFBF"/>
          </w:tcPr>
          <w:p>
            <w:pPr>
              <w:ind w:left="500"/>
              <w:spacing w:after="0"/>
              <w:rPr>
                <w:sz w:val="20"/>
                <w:szCs w:val="20"/>
                <w:color w:val="auto"/>
              </w:rPr>
            </w:pPr>
            <w:r>
              <w:rPr>
                <w:rFonts w:ascii="Times New Roman" w:cs="Times New Roman" w:eastAsia="Times New Roman" w:hAnsi="Times New Roman"/>
                <w:sz w:val="14"/>
                <w:szCs w:val="14"/>
                <w:b w:val="1"/>
                <w:bCs w:val="1"/>
                <w:color w:val="auto"/>
              </w:rPr>
              <w:t>Commitment Fee</w:t>
            </w:r>
          </w:p>
        </w:tc>
      </w:tr>
      <w:tr>
        <w:trPr>
          <w:trHeight w:val="195"/>
        </w:trPr>
        <w:tc>
          <w:tcPr>
            <w:tcW w:w="1500" w:type="dxa"/>
            <w:vAlign w:val="bottom"/>
            <w:tcBorders>
              <w:left w:val="single" w:sz="8" w:color="auto"/>
              <w:bottom w:val="single" w:sz="8" w:color="auto"/>
              <w:right w:val="single" w:sz="8" w:color="auto"/>
            </w:tcBorders>
            <w:shd w:val="clear" w:color="auto" w:fill="BFBFBF"/>
          </w:tcPr>
          <w:p>
            <w:pPr>
              <w:spacing w:after="0"/>
              <w:rPr>
                <w:sz w:val="16"/>
                <w:szCs w:val="16"/>
                <w:color w:val="auto"/>
              </w:rPr>
            </w:pPr>
          </w:p>
        </w:tc>
        <w:tc>
          <w:tcPr>
            <w:tcW w:w="2600" w:type="dxa"/>
            <w:vAlign w:val="bottom"/>
            <w:tcBorders>
              <w:bottom w:val="single" w:sz="8" w:color="auto"/>
              <w:right w:val="single" w:sz="8" w:color="auto"/>
            </w:tcBorders>
            <w:shd w:val="clear" w:color="auto" w:fill="BFBFBF"/>
          </w:tcPr>
          <w:p>
            <w:pPr>
              <w:spacing w:after="0"/>
              <w:rPr>
                <w:sz w:val="16"/>
                <w:szCs w:val="16"/>
                <w:color w:val="auto"/>
              </w:rPr>
            </w:pPr>
          </w:p>
        </w:tc>
        <w:tc>
          <w:tcPr>
            <w:tcW w:w="2040" w:type="dxa"/>
            <w:vAlign w:val="bottom"/>
            <w:tcBorders>
              <w:bottom w:val="single" w:sz="8" w:color="auto"/>
              <w:right w:val="single" w:sz="8" w:color="auto"/>
            </w:tcBorders>
            <w:shd w:val="clear" w:color="auto" w:fill="BFBFBF"/>
          </w:tcPr>
          <w:p>
            <w:pPr>
              <w:spacing w:after="0"/>
              <w:rPr>
                <w:sz w:val="16"/>
                <w:szCs w:val="16"/>
                <w:color w:val="auto"/>
              </w:rPr>
            </w:pPr>
          </w:p>
        </w:tc>
        <w:tc>
          <w:tcPr>
            <w:tcW w:w="20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Fee</w:t>
            </w:r>
          </w:p>
        </w:tc>
        <w:tc>
          <w:tcPr>
            <w:tcW w:w="2080" w:type="dxa"/>
            <w:vAlign w:val="bottom"/>
            <w:tcBorders>
              <w:bottom w:val="single" w:sz="8" w:color="auto"/>
              <w:right w:val="single" w:sz="8" w:color="auto"/>
            </w:tcBorders>
            <w:shd w:val="clear" w:color="auto" w:fill="BFBFBF"/>
          </w:tcPr>
          <w:p>
            <w:pPr>
              <w:spacing w:after="0"/>
              <w:rPr>
                <w:sz w:val="16"/>
                <w:szCs w:val="16"/>
                <w:color w:val="auto"/>
              </w:rPr>
            </w:pPr>
          </w:p>
        </w:tc>
      </w:tr>
      <w:tr>
        <w:trPr>
          <w:trHeight w:val="18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&lt; 2.00:1.00</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2.500%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0.375%</w:t>
            </w:r>
          </w:p>
        </w:tc>
      </w:tr>
      <w:tr>
        <w:trPr>
          <w:trHeight w:val="156"/>
        </w:trPr>
        <w:tc>
          <w:tcPr>
            <w:tcW w:w="1500" w:type="dxa"/>
            <w:vAlign w:val="bottom"/>
            <w:tcBorders>
              <w:left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2</w:t>
            </w:r>
          </w:p>
        </w:tc>
        <w:tc>
          <w:tcPr>
            <w:tcW w:w="2600" w:type="dxa"/>
            <w:vAlign w:val="bottom"/>
            <w:tcBorders>
              <w:right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 2.00:1.00 but</w:t>
            </w:r>
          </w:p>
        </w:tc>
        <w:tc>
          <w:tcPr>
            <w:tcW w:w="20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1.750%</w:t>
            </w:r>
          </w:p>
        </w:tc>
        <w:tc>
          <w:tcPr>
            <w:tcW w:w="20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2.750%</w:t>
            </w:r>
          </w:p>
        </w:tc>
        <w:tc>
          <w:tcPr>
            <w:tcW w:w="20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0. 375%</w:t>
            </w:r>
          </w:p>
        </w:tc>
      </w:tr>
      <w:tr>
        <w:trPr>
          <w:trHeight w:val="193"/>
        </w:trPr>
        <w:tc>
          <w:tcPr>
            <w:tcW w:w="1500" w:type="dxa"/>
            <w:vAlign w:val="bottom"/>
            <w:tcBorders>
              <w:left w:val="single" w:sz="8" w:color="auto"/>
              <w:bottom w:val="single" w:sz="8" w:color="auto"/>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&lt; 2.50:1.00</w:t>
            </w:r>
          </w:p>
        </w:tc>
        <w:tc>
          <w:tcPr>
            <w:tcW w:w="2040" w:type="dxa"/>
            <w:vAlign w:val="bottom"/>
            <w:tcBorders>
              <w:bottom w:val="single" w:sz="8" w:color="auto"/>
              <w:right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16"/>
                <w:szCs w:val="16"/>
                <w:color w:val="auto"/>
              </w:rPr>
            </w:pPr>
          </w:p>
        </w:tc>
      </w:tr>
      <w:tr>
        <w:trPr>
          <w:trHeight w:val="18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 2.50:1.00 but &lt; 3.00:1.00</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2.000%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3.000%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0. 375%</w:t>
            </w:r>
          </w:p>
        </w:tc>
      </w:tr>
      <w:tr>
        <w:trPr>
          <w:trHeight w:val="18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2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 3.00:1.00</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2.250%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3.250%</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0. 375%</w:t>
            </w:r>
          </w:p>
        </w:tc>
      </w:tr>
    </w:tbl>
    <w:p>
      <w:pPr>
        <w:spacing w:after="0" w:line="108"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4"/>
          <w:szCs w:val="14"/>
          <w:color w:val="auto"/>
        </w:rPr>
        <w:t xml:space="preserve">Any increase or decrease in the Applicable Margin resulting from a change in the Leverage Ratio shall become effective as of the first day immediately following the date a Compliance Certificate is delivered for each fiscal quarter from time to time pursuant to </w:t>
      </w:r>
      <w:r>
        <w:rPr>
          <w:rFonts w:ascii="Times New Roman" w:cs="Times New Roman" w:eastAsia="Times New Roman" w:hAnsi="Times New Roman"/>
          <w:sz w:val="14"/>
          <w:szCs w:val="14"/>
          <w:b w:val="1"/>
          <w:bCs w:val="1"/>
          <w:i w:val="1"/>
          <w:iCs w:val="1"/>
          <w:color w:val="auto"/>
        </w:rPr>
        <w:t>Section 6.1(d)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such Compliance Certificate is not delivered within five (5) days after the date when due in accordance with such Section, then upon the request of the Required Lenders, Pricing Level 4 shall apply as of the first day after the date on which such Compliance Certificate was required to have been delivered and shall remain in effect until the date on which such Compliance Certificate is delivered. The Applicable Margin from the Fourth Amendment Effective Date through the date that the Compliance Certificate is required to be delivered pursuant to </w:t>
      </w:r>
      <w:r>
        <w:rPr>
          <w:rFonts w:ascii="Times New Roman" w:cs="Times New Roman" w:eastAsia="Times New Roman" w:hAnsi="Times New Roman"/>
          <w:sz w:val="14"/>
          <w:szCs w:val="14"/>
          <w:b w:val="1"/>
          <w:bCs w:val="1"/>
          <w:i w:val="1"/>
          <w:iCs w:val="1"/>
          <w:color w:val="auto"/>
        </w:rPr>
        <w:t>Section 6.1(d)</w:t>
      </w:r>
      <w:r>
        <w:rPr>
          <w:rFonts w:ascii="Times New Roman" w:cs="Times New Roman" w:eastAsia="Times New Roman" w:hAnsi="Times New Roman"/>
          <w:sz w:val="14"/>
          <w:szCs w:val="14"/>
          <w:color w:val="auto"/>
        </w:rPr>
        <w:t xml:space="preserve"> for the fiscal quarter of Holdings ending March 31, 2025 shall be determined based upon Pricing Level 2.</w:t>
      </w:r>
    </w:p>
    <w:p>
      <w:pPr>
        <w:spacing w:after="0" w:line="4"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4"/>
          <w:szCs w:val="14"/>
          <w:color w:val="auto"/>
        </w:rPr>
        <w:t xml:space="preserve">If, as a result of any restatement of or other adjustment to the financial statements of Holdings or for any other reason, Holdings, Borrowers or the Required Lenders determine that (a) the Leverage Ratio as calculated by Holdings as of any applicable date was inaccurate and (b) a proper calculation of the Leverage Ratio would have resulted in higher pricing for such period, Borrowers shall immediately and retroactively be obligated to pay to Administrative Agent for the account of the applicable Lenders, L/C Issuer or Swing Line Lender, as the case may be, promptly on demand by Administrative Agent (or, after the occurrence of an actual or deemed entry of an order for relief with respect to any Loan Party under the Bankruptcy Code of the United States, automatically and without further action by Administrative Agent, any Lender, L/C Issuer or Swing Line Lender), an amount equal to the excess of the amount of interest and fees that should have been paid for such period over the amount of interest and fees actually paid for such period. This paragraph shall not limit the rights of Administrative Agent, any Lender, L/C Issuer or Swing Line Lender, as the case may be, including the rights available under </w:t>
      </w:r>
      <w:r>
        <w:rPr>
          <w:rFonts w:ascii="Times New Roman" w:cs="Times New Roman" w:eastAsia="Times New Roman" w:hAnsi="Times New Roman"/>
          <w:sz w:val="14"/>
          <w:szCs w:val="14"/>
          <w:b w:val="1"/>
          <w:bCs w:val="1"/>
          <w:i w:val="1"/>
          <w:iCs w:val="1"/>
          <w:color w:val="auto"/>
        </w:rPr>
        <w:t>Article 2</w:t>
      </w:r>
      <w:r>
        <w:rPr>
          <w:rFonts w:ascii="Times New Roman" w:cs="Times New Roman" w:eastAsia="Times New Roman" w:hAnsi="Times New Roman"/>
          <w:sz w:val="14"/>
          <w:szCs w:val="14"/>
          <w:color w:val="auto"/>
        </w:rPr>
        <w:t xml:space="preserve"> or under </w:t>
      </w:r>
      <w:r>
        <w:rPr>
          <w:rFonts w:ascii="Times New Roman" w:cs="Times New Roman" w:eastAsia="Times New Roman" w:hAnsi="Times New Roman"/>
          <w:sz w:val="14"/>
          <w:szCs w:val="14"/>
          <w:b w:val="1"/>
          <w:bCs w:val="1"/>
          <w:i w:val="1"/>
          <w:iCs w:val="1"/>
          <w:color w:val="auto"/>
        </w:rPr>
        <w:t>Article 9</w:t>
      </w:r>
      <w:r>
        <w:rPr>
          <w:rFonts w:ascii="Times New Roman" w:cs="Times New Roman" w:eastAsia="Times New Roman" w:hAnsi="Times New Roman"/>
          <w:sz w:val="14"/>
          <w:szCs w:val="14"/>
          <w:color w:val="auto"/>
        </w:rPr>
        <w: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300"/>
          </w:cols>
          <w:pgMar w:left="300" w:top="287" w:right="29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Borrower’s obligations under this paragraph shall survive the termination of the Commitments and the repayment of all other Obligations hereunder.</w:t>
      </w:r>
    </w:p>
    <w:p>
      <w:pPr>
        <w:spacing w:after="0" w:line="3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Applicable Percentage</w:t>
      </w:r>
      <w:r>
        <w:rPr>
          <w:rFonts w:ascii="Times New Roman" w:cs="Times New Roman" w:eastAsia="Times New Roman" w:hAnsi="Times New Roman"/>
          <w:sz w:val="14"/>
          <w:szCs w:val="14"/>
          <w:color w:val="auto"/>
        </w:rPr>
        <w:t xml:space="preserve">” means, with respect to any Lender at any time, the percentage (carried out to the ninth decimal place) of such Lender’s Commitment at such time divided by the aggregate Commitments of all Lenders;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Commitments have been terminated pursuant to the terms hereof, then the Applicable Percentage of each Lender shall be determined based upon the Applicable Percentage of such Lender immediately prior to such termination and after giving effect to any subsequent assignments made pursuant to the terms hereof.</w:t>
      </w:r>
    </w:p>
    <w:p>
      <w:pPr>
        <w:spacing w:after="0" w:line="1" w:lineRule="exact"/>
        <w:rPr>
          <w:sz w:val="20"/>
          <w:szCs w:val="20"/>
          <w:color w:val="auto"/>
        </w:rPr>
      </w:pPr>
    </w:p>
    <w:p>
      <w:pPr>
        <w:jc w:val="both"/>
        <w:ind w:right="20" w:firstLine="432"/>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Applicable Rate</w:t>
      </w:r>
      <w:r>
        <w:rPr>
          <w:rFonts w:ascii="Times New Roman" w:cs="Times New Roman" w:eastAsia="Times New Roman" w:hAnsi="Times New Roman"/>
          <w:sz w:val="14"/>
          <w:szCs w:val="14"/>
          <w:color w:val="auto"/>
        </w:rPr>
        <w:t xml:space="preserve">” means (a) in the case of a Base Rate Loan (including each Swing Line Loan), the Base Rate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the Applicable Margin; and (b) in the case of a Term SOFR Loan, the Adjusted Term SOFR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the Applicable Margin.</w:t>
      </w:r>
    </w:p>
    <w:p>
      <w:pPr>
        <w:jc w:val="both"/>
        <w:ind w:firstLine="43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Approved Fund</w:t>
      </w:r>
      <w:r>
        <w:rPr>
          <w:rFonts w:ascii="Times New Roman" w:cs="Times New Roman" w:eastAsia="Times New Roman" w:hAnsi="Times New Roman"/>
          <w:sz w:val="14"/>
          <w:szCs w:val="14"/>
          <w:color w:val="auto"/>
        </w:rPr>
        <w:t>” means any Fund that is administered or managed by (a) a Lender, (b) an Affiliate of a Lender or (c) an entity or an Affiliate of an entity that administers or manages a Lender.</w:t>
      </w:r>
    </w:p>
    <w:p>
      <w:pPr>
        <w:spacing w:after="0" w:line="18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Arranger</w:t>
      </w:r>
      <w:r>
        <w:rPr>
          <w:rFonts w:ascii="Times New Roman" w:cs="Times New Roman" w:eastAsia="Times New Roman" w:hAnsi="Times New Roman"/>
          <w:sz w:val="14"/>
          <w:szCs w:val="14"/>
          <w:color w:val="auto"/>
        </w:rPr>
        <w:t>” means, individually or collectively as the context requires, each of (a) TCBI Securities, Inc., in its capacity as joint lead arranger and joint book runner, (b) The Huntington National Bank, in its capacity as joint lead arranger and joint book runner and (c) Bank of America, N.A., in its capacity as joint lead arranger and joint book runner.</w:t>
      </w: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Assignment and Assumption</w:t>
      </w:r>
      <w:r>
        <w:rPr>
          <w:rFonts w:ascii="Times New Roman" w:cs="Times New Roman" w:eastAsia="Times New Roman" w:hAnsi="Times New Roman"/>
          <w:sz w:val="14"/>
          <w:szCs w:val="14"/>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4"/>
          <w:szCs w:val="14"/>
          <w:b w:val="1"/>
          <w:bCs w:val="1"/>
          <w:i w:val="1"/>
          <w:iCs w:val="1"/>
          <w:color w:val="auto"/>
        </w:rPr>
        <w:t>Section 11.8</w:t>
      </w:r>
      <w:r>
        <w:rPr>
          <w:rFonts w:ascii="Times New Roman" w:cs="Times New Roman" w:eastAsia="Times New Roman" w:hAnsi="Times New Roman"/>
          <w:sz w:val="14"/>
          <w:szCs w:val="14"/>
          <w:color w:val="auto"/>
        </w:rPr>
        <w:t>), and accepted by Administrative Agent, in substantially the form of</w:t>
      </w:r>
      <w:r>
        <w:rPr>
          <w:rFonts w:ascii="Times New Roman" w:cs="Times New Roman" w:eastAsia="Times New Roman" w:hAnsi="Times New Roman"/>
          <w:sz w:val="14"/>
          <w:szCs w:val="14"/>
          <w:b w:val="1"/>
          <w:bCs w:val="1"/>
          <w:i w:val="1"/>
          <w:iCs w:val="1"/>
          <w:color w:val="auto"/>
        </w:rPr>
        <w:t xml:space="preserve"> Exhibit A </w:t>
      </w:r>
      <w:r>
        <w:rPr>
          <w:rFonts w:ascii="Times New Roman" w:cs="Times New Roman" w:eastAsia="Times New Roman" w:hAnsi="Times New Roman"/>
          <w:sz w:val="14"/>
          <w:szCs w:val="14"/>
          <w:color w:val="auto"/>
        </w:rPr>
        <w:t>or any other form approved by Administrative Agent.</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Authorized Party</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11.11(d)(iii)</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Auto-Extension Letter of Credit</w:t>
      </w:r>
      <w:r>
        <w:rPr>
          <w:rFonts w:ascii="Times New Roman" w:cs="Times New Roman" w:eastAsia="Times New Roman" w:hAnsi="Times New Roman"/>
          <w:sz w:val="14"/>
          <w:szCs w:val="14"/>
          <w:color w:val="auto"/>
        </w:rPr>
        <w:t>” means a Letter of Credit that has automatic extension provisions.</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Availability</w:t>
      </w:r>
      <w:r>
        <w:rPr>
          <w:rFonts w:ascii="Times New Roman" w:cs="Times New Roman" w:eastAsia="Times New Roman" w:hAnsi="Times New Roman"/>
          <w:sz w:val="14"/>
          <w:szCs w:val="14"/>
          <w:color w:val="auto"/>
        </w:rPr>
        <w:t xml:space="preserve">” means, as of any date, the difference between (a) an amount equal to the Line Cap in effect on such date </w:t>
      </w:r>
      <w:r>
        <w:rPr>
          <w:rFonts w:ascii="Times New Roman" w:cs="Times New Roman" w:eastAsia="Times New Roman" w:hAnsi="Times New Roman"/>
          <w:sz w:val="14"/>
          <w:szCs w:val="14"/>
          <w:u w:val="single" w:color="auto"/>
          <w:color w:val="auto"/>
        </w:rPr>
        <w:t>less</w:t>
      </w:r>
      <w:r>
        <w:rPr>
          <w:rFonts w:ascii="Times New Roman" w:cs="Times New Roman" w:eastAsia="Times New Roman" w:hAnsi="Times New Roman"/>
          <w:sz w:val="14"/>
          <w:szCs w:val="14"/>
          <w:color w:val="auto"/>
        </w:rPr>
        <w:t xml:space="preserve"> (b) the total Revolving Credit Exposure of the Lenders on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17" w:lineRule="exact"/>
        <w:rPr>
          <w:sz w:val="20"/>
          <w:szCs w:val="20"/>
          <w:color w:val="auto"/>
        </w:rPr>
      </w:pPr>
    </w:p>
    <w:p>
      <w:pPr>
        <w:jc w:val="both"/>
        <w:ind w:firstLine="432"/>
        <w:spacing w:after="0" w:line="24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Availability Reserves</w:t>
      </w:r>
      <w:r>
        <w:rPr>
          <w:rFonts w:ascii="Times New Roman" w:cs="Times New Roman" w:eastAsia="Times New Roman" w:hAnsi="Times New Roman"/>
          <w:sz w:val="14"/>
          <w:szCs w:val="14"/>
          <w:color w:val="auto"/>
        </w:rPr>
        <w:t>” means, as of any date of determination, such amounts as Administrative Agent may from time to time establish and revise in its Permitted Discretion: (a) to reflect events, conditions, contingencies or risks which, as determined by Administrative Agent, do or may affect either (i) the Collateral or any other Property which is security for the Obligations, (ii) the assets, business or prospects of the Loan Parties, or (iii) the security interests and other rights of any Secured Party in the Collateral (including the enforceability, perfection and priority thereof), (b) to reflect Administrative Agent’s belief that any collateral report or financial information furnished by or on behalf of the Loan Parties to Administrative Agent is or may have been incomplete, inaccurate or misleading in any material respect, (c) in respect of Bank Products, Rent Reserves and Hedge Agreements, and (d) in respect of any state of facts which Administrative Agent determines constitutes a Default or an Event of Default or may, with notice or passage of time or both, constitute a Default or an Event of Default.</w:t>
      </w:r>
    </w:p>
    <w:p>
      <w:pPr>
        <w:spacing w:after="0" w:line="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Available Tenor</w:t>
      </w:r>
      <w:r>
        <w:rPr>
          <w:rFonts w:ascii="Times New Roman" w:cs="Times New Roman" w:eastAsia="Times New Roman" w:hAnsi="Times New Roman"/>
          <w:sz w:val="14"/>
          <w:szCs w:val="14"/>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4"/>
          <w:szCs w:val="14"/>
          <w:b w:val="1"/>
          <w:bCs w:val="1"/>
          <w:i w:val="1"/>
          <w:iCs w:val="1"/>
          <w:color w:val="auto"/>
        </w:rPr>
        <w:t>Section 3.3(b)(iv)</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Bail-In Action</w:t>
      </w:r>
      <w:r>
        <w:rPr>
          <w:rFonts w:ascii="Times New Roman" w:cs="Times New Roman" w:eastAsia="Times New Roman" w:hAnsi="Times New Roman"/>
          <w:sz w:val="14"/>
          <w:szCs w:val="14"/>
          <w:color w:val="auto"/>
        </w:rPr>
        <w:t>” means the exercise of any Write-Down and Conversion Powers by the applicable Resolution Authority in respect of any liability of an Affected Financial Institution.</w:t>
      </w:r>
    </w:p>
    <w:p>
      <w:pPr>
        <w:spacing w:after="0" w:line="37" w:lineRule="exact"/>
        <w:rPr>
          <w:sz w:val="20"/>
          <w:szCs w:val="20"/>
          <w:color w:val="auto"/>
        </w:rPr>
      </w:pPr>
    </w:p>
    <w:p>
      <w:pPr>
        <w:jc w:val="both"/>
        <w:ind w:right="20" w:firstLine="43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Bail-In Legislation</w:t>
      </w:r>
      <w:r>
        <w:rPr>
          <w:rFonts w:ascii="Times New Roman" w:cs="Times New Roman" w:eastAsia="Times New Roman" w:hAnsi="Times New Roman"/>
          <w:sz w:val="14"/>
          <w:szCs w:val="14"/>
          <w:color w:val="auto"/>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300"/>
          </w:cols>
          <w:pgMar w:left="300" w:top="287" w:right="29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4"/>
          <w:szCs w:val="14"/>
          <w:color w:val="auto"/>
        </w:rPr>
        <w:t>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Bank Product Agreements</w:t>
      </w:r>
      <w:r>
        <w:rPr>
          <w:rFonts w:ascii="Times New Roman" w:cs="Times New Roman" w:eastAsia="Times New Roman" w:hAnsi="Times New Roman"/>
          <w:sz w:val="14"/>
          <w:szCs w:val="14"/>
          <w:color w:val="auto"/>
        </w:rPr>
        <w:t>” means those certain agreements entered into from time to time between any Loan Party and a Bank Product Provider in connection with any of the Bank Products, including without limitation, Hedge Agreements.</w:t>
      </w: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Bank Product Obligations</w:t>
      </w:r>
      <w:r>
        <w:rPr>
          <w:rFonts w:ascii="Times New Roman" w:cs="Times New Roman" w:eastAsia="Times New Roman" w:hAnsi="Times New Roman"/>
          <w:sz w:val="14"/>
          <w:szCs w:val="14"/>
          <w:color w:val="auto"/>
        </w:rPr>
        <w:t>” means all obligations, liabilities, contingent reimbursement obligations, fees, and expenses owing by any Loan Party to any Bank Product Provider pursuant to or evidenced by the Bank Product Agreements and irrespective of whether for the payment of money, whether direct or indirect, absolute or contingent, due or to become due, now existing or hereafter arising, and including all such amounts that any Loan Party is obligated to reimburse to any Bank Product Provider as a result of such Bank Product Provider purchasing participations or executing indemnities or reimbursement obligations with respect to the Bank Products provided to any Loan Party pursuant to the Bank Product Agreements. For the avoidance of doubt, the Bank Product Obligations arising under any Hedge Agreement shall be determined by the Hedge Termination Value thereof.</w:t>
      </w:r>
    </w:p>
    <w:p>
      <w:pPr>
        <w:spacing w:after="0" w:line="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Bank Product Provider</w:t>
      </w:r>
      <w:r>
        <w:rPr>
          <w:rFonts w:ascii="Times New Roman" w:cs="Times New Roman" w:eastAsia="Times New Roman" w:hAnsi="Times New Roman"/>
          <w:sz w:val="14"/>
          <w:szCs w:val="14"/>
          <w:color w:val="auto"/>
        </w:rPr>
        <w:t xml:space="preserve">” means any (a) Person that is a party to a Bank Product Agreement with or provides Bank Products to any Loan Party that entered into such Bank Product Agreement or provided such Bank Product before or while such Person is a Lender or an Affiliate of a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Person will cease to be a “Bank Product Provider” at any time such Person ceases to be a Lender or an Affiliate of a Lender, as the case may be, or (b) assignee of any Bank Product Agreement or Bank Product (by novation or otherwise) from any Person described in clause (a) above so long as such assignee is a Lender or an Affiliate of a Lender.</w:t>
      </w:r>
    </w:p>
    <w:p>
      <w:pPr>
        <w:spacing w:after="0" w:line="2" w:lineRule="exact"/>
        <w:rPr>
          <w:sz w:val="20"/>
          <w:szCs w:val="20"/>
          <w:color w:val="auto"/>
        </w:rPr>
      </w:pPr>
    </w:p>
    <w:p>
      <w:pPr>
        <w:jc w:val="both"/>
        <w:ind w:firstLine="432"/>
        <w:spacing w:after="0" w:line="17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Bank Products</w:t>
      </w:r>
      <w:r>
        <w:rPr>
          <w:rFonts w:ascii="Times New Roman" w:cs="Times New Roman" w:eastAsia="Times New Roman" w:hAnsi="Times New Roman"/>
          <w:sz w:val="14"/>
          <w:szCs w:val="14"/>
          <w:color w:val="auto"/>
        </w:rPr>
        <w:t>” means any service provided to, facility extended to, or transaction entered into with, any Loan Party by any Bank Product Provider consisting of (a) deposit accounts, (b) cash management services, including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and other cash management arrangements maintained with any Bank Product Provider, (c) debit cards, stored value cards, and credit cards (including commercial credit cards (including so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called “procurement cards” or “P</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cards”)) and debit card and credit card processing services or (d) Hedge Agreements.</w:t>
      </w:r>
    </w:p>
    <w:p>
      <w:pPr>
        <w:spacing w:after="0" w:line="1" w:lineRule="exact"/>
        <w:rPr>
          <w:sz w:val="20"/>
          <w:szCs w:val="20"/>
          <w:color w:val="auto"/>
        </w:rPr>
      </w:pPr>
    </w:p>
    <w:p>
      <w:pPr>
        <w:jc w:val="both"/>
        <w:ind w:firstLine="432"/>
        <w:spacing w:after="0" w:line="24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Base Rate</w:t>
      </w:r>
      <w:r>
        <w:rPr>
          <w:rFonts w:ascii="Times New Roman" w:cs="Times New Roman" w:eastAsia="Times New Roman" w:hAnsi="Times New Roman"/>
          <w:sz w:val="14"/>
          <w:szCs w:val="14"/>
          <w:color w:val="auto"/>
        </w:rPr>
        <w:t xml:space="preserve">” means, for any day, a rate of interest per annum equal to the highest of (a) the Prime Rate for such day; (b) the sum of the Federal Funds Rate for such day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one half of one percent (0.5%); and (c) Adjusted Term SOFR for such day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one percent (1.00%);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if the Base Rate as determined pursuant to the foregoing shall be less than 1.00%, such rate shall be deemed 1.00% for purposes of this Agreement. Any change in the Base Rate due to a change in the Prime Rate, the Federal Funds Rate or Adjusted Term SOFR shall be effective on the effective day of such change in the Prime Rate, the Federal Funds Rate or Adjusted Term SOFR, respectively.</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Base Rate Borrowing</w:t>
      </w:r>
      <w:r>
        <w:rPr>
          <w:rFonts w:ascii="Times New Roman" w:cs="Times New Roman" w:eastAsia="Times New Roman" w:hAnsi="Times New Roman"/>
          <w:sz w:val="14"/>
          <w:szCs w:val="14"/>
          <w:color w:val="auto"/>
        </w:rPr>
        <w:t>” means, as to any Borrowing, the Base Rate Loans comprising such Borrowing.</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Base Rate Loan</w:t>
      </w:r>
      <w:r>
        <w:rPr>
          <w:rFonts w:ascii="Times New Roman" w:cs="Times New Roman" w:eastAsia="Times New Roman" w:hAnsi="Times New Roman"/>
          <w:sz w:val="14"/>
          <w:szCs w:val="14"/>
          <w:color w:val="auto"/>
        </w:rPr>
        <w:t>” means a Loan bearing interest based on the Base Rate.</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Base Rate Term SOFR Determination Day</w:t>
      </w:r>
      <w:r>
        <w:rPr>
          <w:rFonts w:ascii="Times New Roman" w:cs="Times New Roman" w:eastAsia="Times New Roman" w:hAnsi="Times New Roman"/>
          <w:sz w:val="14"/>
          <w:szCs w:val="14"/>
          <w:color w:val="auto"/>
        </w:rPr>
        <w:t>” has the meaning set forth in the definition of “Term SOFR”.</w:t>
      </w:r>
    </w:p>
    <w:p>
      <w:pPr>
        <w:spacing w:after="0" w:line="37"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Benchmark</w:t>
      </w:r>
      <w:r>
        <w:rPr>
          <w:rFonts w:ascii="Times New Roman" w:cs="Times New Roman" w:eastAsia="Times New Roman" w:hAnsi="Times New Roman"/>
          <w:sz w:val="14"/>
          <w:szCs w:val="14"/>
          <w:color w:val="auto"/>
        </w:rPr>
        <w:t xml:space="preserve">” means, initially, the Term SOFR Reference Rate;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4"/>
          <w:szCs w:val="14"/>
          <w:b w:val="1"/>
          <w:bCs w:val="1"/>
          <w:i w:val="1"/>
          <w:iCs w:val="1"/>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3.3(b)(i)</w:t>
      </w:r>
      <w:r>
        <w:rPr>
          <w:rFonts w:ascii="Times New Roman" w:cs="Times New Roman" w:eastAsia="Times New Roman" w:hAnsi="Times New Roman"/>
          <w:sz w:val="14"/>
          <w:szCs w:val="14"/>
          <w:color w:val="auto"/>
        </w:rPr>
        <w:t>.</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Benchmark Rate Borrowing</w:t>
      </w:r>
      <w:r>
        <w:rPr>
          <w:rFonts w:ascii="Times New Roman" w:cs="Times New Roman" w:eastAsia="Times New Roman" w:hAnsi="Times New Roman"/>
          <w:sz w:val="14"/>
          <w:szCs w:val="14"/>
          <w:color w:val="auto"/>
        </w:rPr>
        <w:t>” means, as to any Borrowing, the Benchmark Rate Loans comprising such Borrowing.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300"/>
          </w:cols>
          <w:pgMar w:left="300" w:top="287" w:right="29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Benchmark Rate Loan</w:t>
      </w:r>
      <w:r>
        <w:rPr>
          <w:rFonts w:ascii="Times New Roman" w:cs="Times New Roman" w:eastAsia="Times New Roman" w:hAnsi="Times New Roman"/>
          <w:sz w:val="14"/>
          <w:szCs w:val="14"/>
          <w:color w:val="auto"/>
        </w:rPr>
        <w:t>” means a Loan bearing interest based on the then existing Benchmark (initially, Adjusted Term SOFR).</w:t>
      </w:r>
    </w:p>
    <w:p>
      <w:pPr>
        <w:spacing w:after="0" w:line="37" w:lineRule="exact"/>
        <w:rPr>
          <w:sz w:val="20"/>
          <w:szCs w:val="20"/>
          <w:color w:val="auto"/>
        </w:rPr>
      </w:pPr>
    </w:p>
    <w:p>
      <w:pPr>
        <w:ind w:firstLine="432"/>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Benchmark Replacement</w:t>
      </w:r>
      <w:r>
        <w:rPr>
          <w:rFonts w:ascii="Times New Roman" w:cs="Times New Roman" w:eastAsia="Times New Roman" w:hAnsi="Times New Roman"/>
          <w:sz w:val="14"/>
          <w:szCs w:val="14"/>
          <w:color w:val="auto"/>
        </w:rPr>
        <w:t>” means with respect to any Benchmark Transition Event, the first alternative set forth in the order below that can be determined by Administrative Agent for the applicable Benchmark Replacement Date :</w:t>
      </w:r>
    </w:p>
    <w:p>
      <w:pPr>
        <w:ind w:left="620" w:hanging="196"/>
        <w:spacing w:after="0"/>
        <w:tabs>
          <w:tab w:leader="none" w:pos="6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(i) Daily Simple SOFR and (ii) the related Benchmark Replacement Adjustment; or</w:t>
      </w:r>
    </w:p>
    <w:p>
      <w:pPr>
        <w:spacing w:after="0" w:line="37" w:lineRule="exact"/>
        <w:rPr>
          <w:rFonts w:ascii="Times New Roman" w:cs="Times New Roman" w:eastAsia="Times New Roman" w:hAnsi="Times New Roman"/>
          <w:sz w:val="14"/>
          <w:szCs w:val="14"/>
          <w:color w:val="auto"/>
        </w:rPr>
      </w:pPr>
    </w:p>
    <w:p>
      <w:pPr>
        <w:jc w:val="both"/>
        <w:ind w:firstLine="424"/>
        <w:spacing w:after="0" w:line="250" w:lineRule="auto"/>
        <w:tabs>
          <w:tab w:leader="none" w:pos="645"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(i) the alternate benchmark rate that has been selected by the Administrative Agent and the Borrower Representative as the replacement for the then-current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the then-current Benchmark for U.S. dollar-denominated syndicated credit facilities at such time and (ii) the related Benchmark Replacement Adjustment.</w:t>
      </w:r>
    </w:p>
    <w:p>
      <w:pPr>
        <w:spacing w:after="0" w:line="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 xml:space="preserve">If the Benchmark Replacement as determined pursuant to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above would be less than the Floor, the Benchmark Replacement will be deemed to be the Floor for the purposes of this Agreement and the other Loan Documents.</w:t>
      </w: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Benchmark Replacement Adjustment</w:t>
      </w:r>
      <w:r>
        <w:rPr>
          <w:rFonts w:ascii="Times New Roman" w:cs="Times New Roman" w:eastAsia="Times New Roman" w:hAnsi="Times New Roman"/>
          <w:sz w:val="14"/>
          <w:szCs w:val="14"/>
          <w:color w:val="auto"/>
        </w:rPr>
        <w:t>” means, (a) with respect to Daily Simple SOFR, 0.10%, and (b) with respect to any other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giving due consideration to (i) any selection or recommendation of a spread adjustment, or method for calculating or determining such spread adjustment, for the replacement of such Benchmark with the applicable Unadjusted Benchmark Replacement by the Relevant Governmental Body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Benchmark Replacement Date</w:t>
      </w:r>
      <w:r>
        <w:rPr>
          <w:rFonts w:ascii="Times New Roman" w:cs="Times New Roman" w:eastAsia="Times New Roman" w:hAnsi="Times New Roman"/>
          <w:sz w:val="14"/>
          <w:szCs w:val="14"/>
          <w:color w:val="auto"/>
        </w:rPr>
        <w:t>” means the earliest to occur of the following events with respect to the then-current Benchmark:</w:t>
      </w:r>
    </w:p>
    <w:p>
      <w:pPr>
        <w:spacing w:after="0" w:line="18" w:lineRule="exact"/>
        <w:rPr>
          <w:sz w:val="20"/>
          <w:szCs w:val="20"/>
          <w:color w:val="auto"/>
        </w:rPr>
      </w:pPr>
    </w:p>
    <w:p>
      <w:pPr>
        <w:jc w:val="both"/>
        <w:ind w:firstLine="424"/>
        <w:spacing w:after="0" w:line="228" w:lineRule="auto"/>
        <w:tabs>
          <w:tab w:leader="none" w:pos="628"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w:t>
      </w:r>
      <w:r>
        <w:rPr>
          <w:rFonts w:ascii="Times New Roman" w:cs="Times New Roman" w:eastAsia="Times New Roman" w:hAnsi="Times New Roman"/>
          <w:sz w:val="14"/>
          <w:szCs w:val="14"/>
          <w:b w:val="1"/>
          <w:bCs w:val="1"/>
          <w:i w:val="1"/>
          <w:iCs w:val="1"/>
          <w:color w:val="auto"/>
        </w:rPr>
        <w:t>clause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(b)</w:t>
      </w:r>
      <w:r>
        <w:rPr>
          <w:rFonts w:ascii="Times New Roman" w:cs="Times New Roman" w:eastAsia="Times New Roman" w:hAnsi="Times New Roman"/>
          <w:sz w:val="14"/>
          <w:szCs w:val="14"/>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jc w:val="both"/>
        <w:ind w:firstLine="424"/>
        <w:spacing w:after="0" w:line="235" w:lineRule="auto"/>
        <w:tabs>
          <w:tab w:leader="none" w:pos="645"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w:t>
      </w:r>
      <w:r>
        <w:rPr>
          <w:rFonts w:ascii="Times New Roman" w:cs="Times New Roman" w:eastAsia="Times New Roman" w:hAnsi="Times New Roman"/>
          <w:sz w:val="14"/>
          <w:szCs w:val="14"/>
          <w:b w:val="1"/>
          <w:bCs w:val="1"/>
          <w:i w:val="1"/>
          <w:iCs w:val="1"/>
          <w:color w:val="auto"/>
        </w:rPr>
        <w:t>clause (c)</w:t>
      </w:r>
      <w:r>
        <w:rPr>
          <w:rFonts w:ascii="Times New Roman" w:cs="Times New Roman" w:eastAsia="Times New Roman" w:hAnsi="Times New Roman"/>
          <w:sz w:val="14"/>
          <w:szCs w:val="14"/>
          <w:color w:val="auto"/>
        </w:rPr>
        <w:t xml:space="preserve"> of the definition of “Benchmark Transition Event,” the first date on which all Available Tenors of such Benchmark (or the published component used in the calculation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w:t>
      </w:r>
      <w:r>
        <w:rPr>
          <w:rFonts w:ascii="Times New Roman" w:cs="Times New Roman" w:eastAsia="Times New Roman" w:hAnsi="Times New Roman"/>
          <w:sz w:val="14"/>
          <w:szCs w:val="14"/>
          <w:b w:val="1"/>
          <w:bCs w:val="1"/>
          <w:i w:val="1"/>
          <w:iCs w:val="1"/>
          <w:color w:val="auto"/>
        </w:rPr>
        <w:t>clause (c)</w:t>
      </w:r>
      <w:r>
        <w:rPr>
          <w:rFonts w:ascii="Times New Roman" w:cs="Times New Roman" w:eastAsia="Times New Roman" w:hAnsi="Times New Roman"/>
          <w:sz w:val="14"/>
          <w:szCs w:val="14"/>
          <w:color w:val="auto"/>
        </w:rPr>
        <w:t xml:space="preserve"> and even if any Available Tenor of such Benchmark (or such component thereof) continues to be provided on such date.</w:t>
      </w:r>
    </w:p>
    <w:p>
      <w:pPr>
        <w:spacing w:after="0" w:line="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 xml:space="preserve">For the avoidance of doubt, the “Benchmark Replacement Date” will be deemed to have occurred in the case of </w:t>
      </w:r>
      <w:r>
        <w:rPr>
          <w:rFonts w:ascii="Times New Roman" w:cs="Times New Roman" w:eastAsia="Times New Roman" w:hAnsi="Times New Roman"/>
          <w:sz w:val="14"/>
          <w:szCs w:val="14"/>
          <w:b w:val="1"/>
          <w:bCs w:val="1"/>
          <w:i w:val="1"/>
          <w:iCs w:val="1"/>
          <w:color w:val="auto"/>
        </w:rPr>
        <w:t>clause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(b)</w:t>
      </w:r>
      <w:r>
        <w:rPr>
          <w:rFonts w:ascii="Times New Roman" w:cs="Times New Roman" w:eastAsia="Times New Roman" w:hAnsi="Times New Roman"/>
          <w:sz w:val="14"/>
          <w:szCs w:val="14"/>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Benchmark Transition Event</w:t>
      </w:r>
      <w:r>
        <w:rPr>
          <w:rFonts w:ascii="Times New Roman" w:cs="Times New Roman" w:eastAsia="Times New Roman" w:hAnsi="Times New Roman"/>
          <w:sz w:val="14"/>
          <w:szCs w:val="14"/>
          <w:color w:val="auto"/>
        </w:rPr>
        <w:t>” means the occurrence of one or more of the following events with respect to the then-current Benchmark:</w:t>
      </w:r>
    </w:p>
    <w:p>
      <w:pPr>
        <w:spacing w:after="0" w:line="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 a public statement or publication of information by or on behalf of the administrator of such Benchmark (or the published component used in the calculation thereof) announcing that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300"/>
          </w:cols>
          <w:pgMar w:left="300" w:top="287" w:right="29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 w:lineRule="exact"/>
        <w:rPr>
          <w:sz w:val="20"/>
          <w:szCs w:val="20"/>
          <w:color w:val="auto"/>
        </w:rPr>
      </w:pPr>
    </w:p>
    <w:p>
      <w:pPr>
        <w:jc w:val="both"/>
        <w:ind w:firstLine="424"/>
        <w:spacing w:after="0" w:line="239" w:lineRule="auto"/>
        <w:tabs>
          <w:tab w:leader="none" w:pos="63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statement or publication of information by the regulatory supervisor for the administrator of such Benchmark (or the published component used in the calculation thereof), the Board of Governors,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 w:lineRule="exact"/>
        <w:rPr>
          <w:rFonts w:ascii="Times New Roman" w:cs="Times New Roman" w:eastAsia="Times New Roman" w:hAnsi="Times New Roman"/>
          <w:sz w:val="14"/>
          <w:szCs w:val="14"/>
          <w:color w:val="auto"/>
        </w:rPr>
      </w:pPr>
    </w:p>
    <w:p>
      <w:pPr>
        <w:ind w:firstLine="424"/>
        <w:spacing w:after="0" w:line="254" w:lineRule="auto"/>
        <w:tabs>
          <w:tab w:leader="none" w:pos="637"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4"/>
          <w:szCs w:val="14"/>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 w:lineRule="exact"/>
        <w:rPr>
          <w:sz w:val="20"/>
          <w:szCs w:val="20"/>
          <w:color w:val="auto"/>
        </w:rPr>
      </w:pPr>
    </w:p>
    <w:p>
      <w:pPr>
        <w:jc w:val="both"/>
        <w:ind w:right="20" w:firstLine="432"/>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Benchmark Unavailability Period</w:t>
      </w:r>
      <w:r>
        <w:rPr>
          <w:rFonts w:ascii="Times New Roman" w:cs="Times New Roman" w:eastAsia="Times New Roman" w:hAnsi="Times New Roman"/>
          <w:sz w:val="14"/>
          <w:szCs w:val="14"/>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4"/>
          <w:szCs w:val="14"/>
          <w:b w:val="1"/>
          <w:bCs w:val="1"/>
          <w:i w:val="1"/>
          <w:iCs w:val="1"/>
          <w:color w:val="auto"/>
        </w:rPr>
        <w:t>Section 3.3(b)</w:t>
      </w:r>
      <w:r>
        <w:rPr>
          <w:rFonts w:ascii="Times New Roman" w:cs="Times New Roman" w:eastAsia="Times New Roman" w:hAnsi="Times New Roman"/>
          <w:sz w:val="14"/>
          <w:szCs w:val="14"/>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4"/>
          <w:szCs w:val="14"/>
          <w:b w:val="1"/>
          <w:bCs w:val="1"/>
          <w:i w:val="1"/>
          <w:iCs w:val="1"/>
          <w:color w:val="auto"/>
        </w:rPr>
        <w:t>Section 3.3(b)</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Beneficial Ownership Certification</w:t>
      </w:r>
      <w:r>
        <w:rPr>
          <w:rFonts w:ascii="Times New Roman" w:cs="Times New Roman" w:eastAsia="Times New Roman" w:hAnsi="Times New Roman"/>
          <w:sz w:val="14"/>
          <w:szCs w:val="14"/>
          <w:color w:val="auto"/>
        </w:rPr>
        <w:t>” means a certification regarding beneficial ownership as required by the Beneficial Ownership Regulation.</w:t>
      </w:r>
    </w:p>
    <w:p>
      <w:pPr>
        <w:spacing w:after="0" w:line="1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Beneficial Ownership Regulation</w:t>
      </w:r>
      <w:r>
        <w:rPr>
          <w:rFonts w:ascii="Times New Roman" w:cs="Times New Roman" w:eastAsia="Times New Roman" w:hAnsi="Times New Roman"/>
          <w:sz w:val="14"/>
          <w:szCs w:val="14"/>
          <w:color w:val="auto"/>
        </w:rPr>
        <w:t>” means 31 C.F.R. § 1010.230.</w:t>
      </w:r>
    </w:p>
    <w:p>
      <w:pPr>
        <w:spacing w:after="0" w:line="21"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Benefit Plan</w:t>
      </w:r>
      <w:r>
        <w:rPr>
          <w:rFonts w:ascii="Times New Roman" w:cs="Times New Roman" w:eastAsia="Times New Roman" w:hAnsi="Times New Roman"/>
          <w:sz w:val="14"/>
          <w:szCs w:val="14"/>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BHC Act Affiliate</w:t>
      </w:r>
      <w:r>
        <w:rPr>
          <w:rFonts w:ascii="Times New Roman" w:cs="Times New Roman" w:eastAsia="Times New Roman" w:hAnsi="Times New Roman"/>
          <w:sz w:val="14"/>
          <w:szCs w:val="14"/>
          <w:color w:val="auto"/>
        </w:rPr>
        <w:t>” means, as to any Person, an “affiliate” (as such term is defined under, and interpreted in accordance with, 12 U.S.C. 1841(k)) of such Person.</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Blanco</w:t>
      </w:r>
      <w:r>
        <w:rPr>
          <w:rFonts w:ascii="Times New Roman" w:cs="Times New Roman" w:eastAsia="Times New Roman" w:hAnsi="Times New Roman"/>
          <w:sz w:val="14"/>
          <w:szCs w:val="14"/>
          <w:color w:val="auto"/>
        </w:rPr>
        <w:t>” has the meaning assigned to such term in the Fifth Amendment.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Blanco Acquisition</w:t>
      </w:r>
      <w:r>
        <w:rPr>
          <w:rFonts w:ascii="Times New Roman" w:cs="Times New Roman" w:eastAsia="Times New Roman" w:hAnsi="Times New Roman"/>
          <w:sz w:val="14"/>
          <w:szCs w:val="14"/>
          <w:color w:val="auto"/>
        </w:rPr>
        <w:t>” has the meaning assigned to such term in the Fifth Amendment.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Blocked Accounts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2.11</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Bloomberg</w:t>
      </w:r>
      <w:r>
        <w:rPr>
          <w:rFonts w:ascii="Times New Roman" w:cs="Times New Roman" w:eastAsia="Times New Roman" w:hAnsi="Times New Roman"/>
          <w:sz w:val="14"/>
          <w:szCs w:val="14"/>
          <w:color w:val="auto"/>
        </w:rPr>
        <w:t>” means Bloomberg Index Services Limited.</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 of Governors</w:t>
      </w:r>
      <w:r>
        <w:rPr>
          <w:rFonts w:ascii="Times New Roman" w:cs="Times New Roman" w:eastAsia="Times New Roman" w:hAnsi="Times New Roman"/>
          <w:sz w:val="14"/>
          <w:szCs w:val="14"/>
          <w:color w:val="auto"/>
        </w:rPr>
        <w:t>” means the Board of Governors of the Federal Reserve System of the United States of America.</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Borrower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Borrowers</w:t>
      </w:r>
      <w:r>
        <w:rPr>
          <w:rFonts w:ascii="Times New Roman" w:cs="Times New Roman" w:eastAsia="Times New Roman" w:hAnsi="Times New Roman"/>
          <w:sz w:val="14"/>
          <w:szCs w:val="14"/>
          <w:color w:val="auto"/>
        </w:rPr>
        <w:t>” has the meaning set forth in the introductory paragraph hereto.</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Borrower Representative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2.13(a)</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Borrowing</w:t>
      </w:r>
      <w:r>
        <w:rPr>
          <w:rFonts w:ascii="Times New Roman" w:cs="Times New Roman" w:eastAsia="Times New Roman" w:hAnsi="Times New Roman"/>
          <w:sz w:val="14"/>
          <w:szCs w:val="14"/>
          <w:color w:val="auto"/>
        </w:rPr>
        <w:t>” means a Revolving Credit Borrowing or a Swing Line Borrowing, as the context may require.</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Borrowing Base</w:t>
      </w:r>
      <w:r>
        <w:rPr>
          <w:rFonts w:ascii="Times New Roman" w:cs="Times New Roman" w:eastAsia="Times New Roman" w:hAnsi="Times New Roman"/>
          <w:sz w:val="14"/>
          <w:szCs w:val="14"/>
          <w:color w:val="auto"/>
        </w:rPr>
        <w:t>” means, as of any date, an amount equal to the sum of, without duplication:</w:t>
      </w:r>
    </w:p>
    <w:p>
      <w:pPr>
        <w:spacing w:after="0" w:line="31" w:lineRule="exact"/>
        <w:rPr>
          <w:sz w:val="20"/>
          <w:szCs w:val="20"/>
          <w:color w:val="auto"/>
        </w:rPr>
      </w:pPr>
    </w:p>
    <w:p>
      <w:pPr>
        <w:ind w:left="860"/>
        <w:spacing w:after="0"/>
        <w:tabs>
          <w:tab w:leader="none" w:pos="1140" w:val="left"/>
        </w:tabs>
        <w:rPr>
          <w:sz w:val="20"/>
          <w:szCs w:val="20"/>
          <w:color w:val="auto"/>
        </w:rPr>
      </w:pPr>
      <w:r>
        <w:rPr>
          <w:rFonts w:ascii="Times New Roman" w:cs="Times New Roman" w:eastAsia="Times New Roman" w:hAnsi="Times New Roman"/>
          <w:sz w:val="14"/>
          <w:szCs w:val="14"/>
          <w:color w:val="auto"/>
        </w:rPr>
        <w:t>(a)</w:t>
        <w:tab/>
        <w:t xml:space="preserve">eighty-five percent (85%) of the Loan Parties’ Eligible Accounts, </w:t>
      </w:r>
      <w:r>
        <w:rPr>
          <w:rFonts w:ascii="Times New Roman" w:cs="Times New Roman" w:eastAsia="Times New Roman" w:hAnsi="Times New Roman"/>
          <w:sz w:val="14"/>
          <w:szCs w:val="14"/>
          <w:i w:val="1"/>
          <w:iCs w:val="1"/>
          <w:color w:val="auto"/>
        </w:rPr>
        <w:t>plus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300"/>
          </w:cols>
          <w:pgMar w:left="300" w:top="287" w:right="29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420" w:firstLine="436"/>
        <w:spacing w:after="0" w:line="259" w:lineRule="auto"/>
        <w:tabs>
          <w:tab w:leader="none" w:pos="1206"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50% of the Loan Parties’ Eligible Inventory (other than Eligible Inventory constituting Eligible Compressors), valued at the lower of cost (calculated on a first-in, first out basis) or market value at such time;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maximum amount of the Loan Parties’ Eligible Inventory (other than Eligible Inventory constituting Eligible Compressors and after giving effect to the advance rate set forth herein) which may be included as part of this component of the Borrowing Base shall not exceed $2,500,000, </w:t>
      </w:r>
      <w:r>
        <w:rPr>
          <w:rFonts w:ascii="Times New Roman" w:cs="Times New Roman" w:eastAsia="Times New Roman" w:hAnsi="Times New Roman"/>
          <w:sz w:val="14"/>
          <w:szCs w:val="14"/>
          <w:i w:val="1"/>
          <w:iCs w:val="1"/>
          <w:color w:val="auto"/>
        </w:rPr>
        <w:t>plus</w:t>
      </w:r>
    </w:p>
    <w:p>
      <w:pPr>
        <w:jc w:val="both"/>
        <w:ind w:left="420" w:firstLine="436"/>
        <w:spacing w:after="0" w:line="250" w:lineRule="auto"/>
        <w:tabs>
          <w:tab w:leader="none" w:pos="1156"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lesser of (i) 95% of the net book value of the Loan Parties’ Eligible Compressors (other than Eligible Compressors constituting a Eligible New Compressor Fleet), valued at the lower of cost or market value with depreciation not to exceed 25 years, at such time and (ii) 80% of the Net Orderly Liquidation Value Percentage of the net book value of the Loan Parties’ Eligible Compressors (other than Eligible Compressors constituting a Eligible New Compressor Fleet), valued at the lower of cost or market value with depreciation not to exceed 25 years, at such time, </w:t>
      </w:r>
      <w:r>
        <w:rPr>
          <w:rFonts w:ascii="Times New Roman" w:cs="Times New Roman" w:eastAsia="Times New Roman" w:hAnsi="Times New Roman"/>
          <w:sz w:val="14"/>
          <w:szCs w:val="14"/>
          <w:i w:val="1"/>
          <w:iCs w:val="1"/>
          <w:color w:val="auto"/>
        </w:rPr>
        <w:t>plus</w:t>
      </w:r>
    </w:p>
    <w:p>
      <w:pPr>
        <w:spacing w:after="0" w:line="4" w:lineRule="exact"/>
        <w:rPr>
          <w:rFonts w:ascii="Times New Roman" w:cs="Times New Roman" w:eastAsia="Times New Roman" w:hAnsi="Times New Roman"/>
          <w:sz w:val="14"/>
          <w:szCs w:val="14"/>
          <w:color w:val="auto"/>
        </w:rPr>
      </w:pPr>
    </w:p>
    <w:p>
      <w:pPr>
        <w:ind w:left="420" w:right="20" w:firstLine="436"/>
        <w:spacing w:after="0" w:line="268" w:lineRule="auto"/>
        <w:tabs>
          <w:tab w:leader="none" w:pos="1206"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80% of the net book value, valued at the lower of cost (calculated on a first-in, first-out basis and excluding any costs for capitalized interest or other non-cash capitalized costs) or market of the Loan Parties’ Eligible New Compressor Fleet, </w:t>
      </w:r>
      <w:r>
        <w:rPr>
          <w:rFonts w:ascii="Times New Roman" w:cs="Times New Roman" w:eastAsia="Times New Roman" w:hAnsi="Times New Roman"/>
          <w:sz w:val="14"/>
          <w:szCs w:val="14"/>
          <w:i w:val="1"/>
          <w:iCs w:val="1"/>
          <w:color w:val="auto"/>
        </w:rPr>
        <w:t>minus</w:t>
      </w:r>
    </w:p>
    <w:p>
      <w:pPr>
        <w:ind w:left="720" w:hanging="296"/>
        <w:spacing w:after="0"/>
        <w:tabs>
          <w:tab w:leader="none" w:pos="7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Availability Reserves.</w:t>
      </w:r>
    </w:p>
    <w:p>
      <w:pPr>
        <w:spacing w:after="0" w:line="3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Borrowing Base Report</w:t>
      </w:r>
      <w:r>
        <w:rPr>
          <w:rFonts w:ascii="Times New Roman" w:cs="Times New Roman" w:eastAsia="Times New Roman" w:hAnsi="Times New Roman"/>
          <w:sz w:val="14"/>
          <w:szCs w:val="14"/>
          <w:color w:val="auto"/>
        </w:rPr>
        <w:t xml:space="preserve">” means, as of any date of preparation, a certificate, substantially the form of </w:t>
      </w:r>
      <w:r>
        <w:rPr>
          <w:rFonts w:ascii="Times New Roman" w:cs="Times New Roman" w:eastAsia="Times New Roman" w:hAnsi="Times New Roman"/>
          <w:sz w:val="14"/>
          <w:szCs w:val="14"/>
          <w:b w:val="1"/>
          <w:bCs w:val="1"/>
          <w:i w:val="1"/>
          <w:iCs w:val="1"/>
          <w:color w:val="auto"/>
        </w:rPr>
        <w:t>Exhibit B</w:t>
      </w:r>
      <w:r>
        <w:rPr>
          <w:rFonts w:ascii="Times New Roman" w:cs="Times New Roman" w:eastAsia="Times New Roman" w:hAnsi="Times New Roman"/>
          <w:sz w:val="14"/>
          <w:szCs w:val="14"/>
          <w:color w:val="auto"/>
        </w:rPr>
        <w:t>, or in any other form agreed to in writing by Borrowers and Administrative Agent, prepared by and certified by a Responsible Officer of the Borrower Representative.</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Borrowing Request</w:t>
      </w:r>
      <w:r>
        <w:rPr>
          <w:rFonts w:ascii="Times New Roman" w:cs="Times New Roman" w:eastAsia="Times New Roman" w:hAnsi="Times New Roman"/>
          <w:sz w:val="14"/>
          <w:szCs w:val="14"/>
          <w:color w:val="auto"/>
        </w:rPr>
        <w:t xml:space="preserve">” means a writing, substantially in the form of </w:t>
      </w:r>
      <w:r>
        <w:rPr>
          <w:rFonts w:ascii="Times New Roman" w:cs="Times New Roman" w:eastAsia="Times New Roman" w:hAnsi="Times New Roman"/>
          <w:sz w:val="14"/>
          <w:szCs w:val="14"/>
          <w:b w:val="1"/>
          <w:bCs w:val="1"/>
          <w:i w:val="1"/>
          <w:iCs w:val="1"/>
          <w:color w:val="auto"/>
        </w:rPr>
        <w:t>Exhibit D</w:t>
      </w:r>
      <w:r>
        <w:rPr>
          <w:rFonts w:ascii="Times New Roman" w:cs="Times New Roman" w:eastAsia="Times New Roman" w:hAnsi="Times New Roman"/>
          <w:sz w:val="14"/>
          <w:szCs w:val="14"/>
          <w:color w:val="auto"/>
        </w:rPr>
        <w:t>, properly completed and signed by the Borrower Representative, requesting a Revolving Credit Borrowing.</w:t>
      </w:r>
    </w:p>
    <w:p>
      <w:pPr>
        <w:spacing w:after="0" w:line="37"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Business Day</w:t>
      </w:r>
      <w:r>
        <w:rPr>
          <w:rFonts w:ascii="Times New Roman" w:cs="Times New Roman" w:eastAsia="Times New Roman" w:hAnsi="Times New Roman"/>
          <w:sz w:val="14"/>
          <w:szCs w:val="14"/>
          <w:color w:val="auto"/>
        </w:rPr>
        <w:t>” means for all purposes, a weekday, Monday through Friday, except a legal holiday or a day on which banking institutions in Dallas, Texas are authorized or required by Law to be closed. Unless otherwise provided, the term “days” when used herein means calendar days.</w:t>
      </w: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Capital Expenditure</w:t>
      </w:r>
      <w:r>
        <w:rPr>
          <w:rFonts w:ascii="Times New Roman" w:cs="Times New Roman" w:eastAsia="Times New Roman" w:hAnsi="Times New Roman"/>
          <w:sz w:val="14"/>
          <w:szCs w:val="14"/>
          <w:color w:val="auto"/>
        </w:rPr>
        <w:t xml:space="preserve">” means, with respect to any Person, any expenditure by such Person for (a) an asset which will be used in a year or years subsequent to the year in which the expenditure is made and which asset is properly classified in relevant financial statements of such Person as equipment, real Property, a fixed asset or a similar type of capitalized asset in accordance with GAAP or (b) an asset relating to or acquired in connection with an acquired business, and any and all acquisition costs related to </w:t>
      </w:r>
      <w:r>
        <w:rPr>
          <w:rFonts w:ascii="Times New Roman" w:cs="Times New Roman" w:eastAsia="Times New Roman" w:hAnsi="Times New Roman"/>
          <w:sz w:val="14"/>
          <w:szCs w:val="14"/>
          <w:b w:val="1"/>
          <w:bCs w:val="1"/>
          <w:i w:val="1"/>
          <w:iCs w:val="1"/>
          <w:color w:val="auto"/>
        </w:rPr>
        <w:t>clause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(b)</w:t>
      </w:r>
      <w:r>
        <w:rPr>
          <w:rFonts w:ascii="Times New Roman" w:cs="Times New Roman" w:eastAsia="Times New Roman" w:hAnsi="Times New Roman"/>
          <w:sz w:val="14"/>
          <w:szCs w:val="14"/>
          <w:color w:val="auto"/>
        </w:rPr>
        <w:t xml:space="preserve"> above.</w:t>
      </w:r>
    </w:p>
    <w:p>
      <w:pPr>
        <w:spacing w:after="0" w:line="2"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Capitalized Lease Obligation</w:t>
      </w:r>
      <w:r>
        <w:rPr>
          <w:rFonts w:ascii="Times New Roman" w:cs="Times New Roman" w:eastAsia="Times New Roman" w:hAnsi="Times New Roman"/>
          <w:sz w:val="14"/>
          <w:szCs w:val="14"/>
          <w:color w:val="auto"/>
        </w:rPr>
        <w:t>” means, with respect to any Person, the amount of Debt under a lease of Property by such Person that would be shown as a liability on a balance sheet of such Person prepared for financial reporting purposes in accordance with GAAP.</w:t>
      </w: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Cash Collateralize</w:t>
      </w:r>
      <w:r>
        <w:rPr>
          <w:rFonts w:ascii="Times New Roman" w:cs="Times New Roman" w:eastAsia="Times New Roman" w:hAnsi="Times New Roman"/>
          <w:sz w:val="14"/>
          <w:szCs w:val="14"/>
          <w:color w:val="auto"/>
        </w:rPr>
        <w:t>” means to pledge and deposit with or deliver to Administrative Agent, for the benefit of one or more of L/C Issuer or Lenders, as collateral for L/C Obligations or obligations of Lenders to fund participations in respect of L/C Obligations, cash or deposit account balances or, if Administrative Agent and L/C Issuer shall agree in their sole discretion, other credit support, in each case pursuant to documentation in form and substance satisfactory to Administrative Agent and L/C Issuer. “</w:t>
      </w:r>
      <w:r>
        <w:rPr>
          <w:rFonts w:ascii="Times New Roman" w:cs="Times New Roman" w:eastAsia="Times New Roman" w:hAnsi="Times New Roman"/>
          <w:sz w:val="14"/>
          <w:szCs w:val="14"/>
          <w:b w:val="1"/>
          <w:bCs w:val="1"/>
          <w:i w:val="1"/>
          <w:iCs w:val="1"/>
          <w:color w:val="auto"/>
        </w:rPr>
        <w:t>Cash Collateral</w:t>
      </w:r>
      <w:r>
        <w:rPr>
          <w:rFonts w:ascii="Times New Roman" w:cs="Times New Roman" w:eastAsia="Times New Roman" w:hAnsi="Times New Roman"/>
          <w:sz w:val="14"/>
          <w:szCs w:val="14"/>
          <w:color w:val="auto"/>
        </w:rPr>
        <w:t>” shall have a meaning correlative to the foregoing and shall include the proceeds of such cash collateral and other credit support.</w:t>
      </w:r>
    </w:p>
    <w:p>
      <w:pPr>
        <w:spacing w:after="0" w:line="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Cash Interest Expense</w:t>
      </w:r>
      <w:r>
        <w:rPr>
          <w:rFonts w:ascii="Times New Roman" w:cs="Times New Roman" w:eastAsia="Times New Roman" w:hAnsi="Times New Roman"/>
          <w:sz w:val="14"/>
          <w:szCs w:val="14"/>
          <w:color w:val="auto"/>
        </w:rPr>
        <w:t>” means, for any Person for any period, total interest expense in respect of all outstanding Debt actually paid or that is payable by such Person during such period, including, without limitation, all commissions, discounts, and other fees and charges with respect to letters of credit and all net costs under Hedge Agreements in respect of interest rates to the extent such costs are allocable to such period, but excluding interest expense not payable in cash, all as determined in accordance with GAAP.</w:t>
      </w:r>
    </w:p>
    <w:p>
      <w:pPr>
        <w:spacing w:after="0" w:line="1" w:lineRule="exact"/>
        <w:rPr>
          <w:sz w:val="20"/>
          <w:szCs w:val="20"/>
          <w:color w:val="auto"/>
        </w:rPr>
      </w:pPr>
    </w:p>
    <w:p>
      <w:pPr>
        <w:jc w:val="both"/>
        <w:ind w:right="20" w:firstLine="43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CFC</w:t>
      </w:r>
      <w:r>
        <w:rPr>
          <w:rFonts w:ascii="Times New Roman" w:cs="Times New Roman" w:eastAsia="Times New Roman" w:hAnsi="Times New Roman"/>
          <w:sz w:val="14"/>
          <w:szCs w:val="14"/>
          <w:color w:val="auto"/>
        </w:rPr>
        <w:t>” means any Subsidiary that is a “controlled foreign corporation” for United States federal income tax purposes within the meaning of Section 957 of the Code and any direct or indirect Subsidiary of a CFC.</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300"/>
          </w:cols>
          <w:pgMar w:left="300" w:top="287" w:right="299" w:bottom="1440" w:gutter="0" w:footer="0" w:header="0"/>
        </w:sectPr>
      </w:pPr>
    </w:p>
    <w:bookmarkStart w:id="97" w:name="page98"/>
    <w:bookmarkEnd w:id="97"/>
    <w:p>
      <w:pPr>
        <w:ind w:left="1068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4"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Change in Law</w:t>
      </w:r>
      <w:r>
        <w:rPr>
          <w:rFonts w:ascii="Times New Roman" w:cs="Times New Roman" w:eastAsia="Times New Roman" w:hAnsi="Times New Roman"/>
          <w:sz w:val="14"/>
          <w:szCs w:val="14"/>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 w:cs="Times New Roman" w:eastAsia="Times New Roman" w:hAnsi="Times New Roman"/>
          <w:sz w:val="14"/>
          <w:szCs w:val="14"/>
          <w:b w:val="1"/>
          <w:bCs w:val="1"/>
          <w:i w:val="1"/>
          <w:iCs w:val="1"/>
          <w:color w:val="auto"/>
        </w:rPr>
        <w:t>Change in Law</w:t>
      </w:r>
      <w:r>
        <w:rPr>
          <w:rFonts w:ascii="Times New Roman" w:cs="Times New Roman" w:eastAsia="Times New Roman" w:hAnsi="Times New Roman"/>
          <w:sz w:val="14"/>
          <w:szCs w:val="14"/>
          <w:color w:val="auto"/>
        </w:rPr>
        <w:t>”, regardless of the date enacted, implemented, adopted or issued.</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Change of Control</w:t>
      </w:r>
      <w:r>
        <w:rPr>
          <w:rFonts w:ascii="Times New Roman" w:cs="Times New Roman" w:eastAsia="Times New Roman" w:hAnsi="Times New Roman"/>
          <w:sz w:val="14"/>
          <w:szCs w:val="14"/>
          <w:color w:val="auto"/>
        </w:rPr>
        <w:t>” means an event or series of events by which:</w:t>
      </w:r>
    </w:p>
    <w:p>
      <w:pPr>
        <w:spacing w:after="0" w:line="18" w:lineRule="exact"/>
        <w:rPr>
          <w:sz w:val="20"/>
          <w:szCs w:val="20"/>
          <w:color w:val="auto"/>
        </w:rPr>
      </w:pPr>
    </w:p>
    <w:p>
      <w:pPr>
        <w:jc w:val="both"/>
        <w:ind w:firstLine="856"/>
        <w:spacing w:after="0" w:line="241" w:lineRule="auto"/>
        <w:tabs>
          <w:tab w:leader="none" w:pos="1194"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or “group” (as such terms are used in Sections 13(d) or 14(d) of the Exchange Act), shall at any time have become the “beneficial owner” (as defined in Rules 13d-3 and 13d-5 under the Exchange Act), directly or indirectly, of greater than 35% of the aggregate ordinary voting power represented by the issued and outstanding Equity Interests in Holdings;</w:t>
      </w:r>
    </w:p>
    <w:p>
      <w:pPr>
        <w:jc w:val="both"/>
        <w:ind w:firstLine="856"/>
        <w:spacing w:after="0" w:line="241" w:lineRule="auto"/>
        <w:tabs>
          <w:tab w:leader="none" w:pos="1199"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occupation of a majority of the seats (other than vacant seats) on the board of directors of Holdings by Persons who were neither (i) directors of Holdings on the Closing Date, (ii) nominated, appointed or approved for consideration by shareholders for election by at least 51% of the then directors of Holdings or (iii) appointed by directors so nominated, appointed or approved; or</w:t>
      </w:r>
    </w:p>
    <w:p>
      <w:pPr>
        <w:spacing w:after="0" w:line="1" w:lineRule="exact"/>
        <w:rPr>
          <w:rFonts w:ascii="Times New Roman" w:cs="Times New Roman" w:eastAsia="Times New Roman" w:hAnsi="Times New Roman"/>
          <w:sz w:val="14"/>
          <w:szCs w:val="14"/>
          <w:color w:val="auto"/>
        </w:rPr>
      </w:pPr>
    </w:p>
    <w:p>
      <w:pPr>
        <w:ind w:firstLine="856"/>
        <w:spacing w:after="0" w:line="253" w:lineRule="auto"/>
        <w:tabs>
          <w:tab w:leader="none" w:pos="120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Holdings shall cease to own, free and clear of all Liens or other encumbrances (other than Permitted Liens), directly or indirectly, at least 100% of the outstanding direct or indirect Equity Interests of the Borrowers and any other Loan Party on a fully diluted basis.</w:t>
      </w: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Closing Date</w:t>
      </w:r>
      <w:r>
        <w:rPr>
          <w:rFonts w:ascii="Times New Roman" w:cs="Times New Roman" w:eastAsia="Times New Roman" w:hAnsi="Times New Roman"/>
          <w:sz w:val="14"/>
          <w:szCs w:val="14"/>
          <w:color w:val="auto"/>
        </w:rPr>
        <w:t xml:space="preserve">” means the first date all the conditions precedent in </w:t>
      </w:r>
      <w:r>
        <w:rPr>
          <w:rFonts w:ascii="Times New Roman" w:cs="Times New Roman" w:eastAsia="Times New Roman" w:hAnsi="Times New Roman"/>
          <w:sz w:val="14"/>
          <w:szCs w:val="14"/>
          <w:b w:val="1"/>
          <w:bCs w:val="1"/>
          <w:i w:val="1"/>
          <w:iCs w:val="1"/>
          <w:color w:val="auto"/>
        </w:rPr>
        <w:t>Section 4.1</w:t>
      </w:r>
      <w:r>
        <w:rPr>
          <w:rFonts w:ascii="Times New Roman" w:cs="Times New Roman" w:eastAsia="Times New Roman" w:hAnsi="Times New Roman"/>
          <w:sz w:val="14"/>
          <w:szCs w:val="14"/>
          <w:color w:val="auto"/>
        </w:rPr>
        <w:t xml:space="preserve"> are satisfied or waived in accordance with </w:t>
      </w:r>
      <w:r>
        <w:rPr>
          <w:rFonts w:ascii="Times New Roman" w:cs="Times New Roman" w:eastAsia="Times New Roman" w:hAnsi="Times New Roman"/>
          <w:sz w:val="14"/>
          <w:szCs w:val="14"/>
          <w:b w:val="1"/>
          <w:bCs w:val="1"/>
          <w:i w:val="1"/>
          <w:iCs w:val="1"/>
          <w:color w:val="auto"/>
        </w:rPr>
        <w:t>Section 11.10</w:t>
      </w:r>
      <w:r>
        <w:rPr>
          <w:rFonts w:ascii="Times New Roman" w:cs="Times New Roman" w:eastAsia="Times New Roman" w:hAnsi="Times New Roman"/>
          <w:sz w:val="14"/>
          <w:szCs w:val="14"/>
          <w:color w:val="auto"/>
        </w:rPr>
        <w:t>.</w:t>
      </w:r>
    </w:p>
    <w:p>
      <w:pPr>
        <w:spacing w:after="0" w:line="37"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Code</w:t>
      </w:r>
      <w:r>
        <w:rPr>
          <w:rFonts w:ascii="Times New Roman" w:cs="Times New Roman" w:eastAsia="Times New Roman" w:hAnsi="Times New Roman"/>
          <w:sz w:val="14"/>
          <w:szCs w:val="14"/>
          <w:color w:val="auto"/>
        </w:rPr>
        <w:t>” means the Internal Revenue Code of 1986, as amended from time to time, and any successor statute, together with the regulations promulgated thereunder.</w:t>
      </w:r>
    </w:p>
    <w:p>
      <w:pPr>
        <w:spacing w:after="0" w:line="3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Collateral</w:t>
      </w:r>
      <w:r>
        <w:rPr>
          <w:rFonts w:ascii="Times New Roman" w:cs="Times New Roman" w:eastAsia="Times New Roman" w:hAnsi="Times New Roman"/>
          <w:sz w:val="14"/>
          <w:szCs w:val="14"/>
          <w:color w:val="auto"/>
        </w:rPr>
        <w:t>” means substantially all of the Property of the Loan Parties and their Subsidiaries as described in the Security Documents, including 100% of the Equity Interest in any Loan Party (other than Holdings), together with any other Property and collateral described in the Security Documents, including, among other things, any Property which may now or hereafter secure the Obligations or any part thereof (but which in no event will include any Excluded Asset).</w:t>
      </w:r>
    </w:p>
    <w:p>
      <w:pPr>
        <w:spacing w:after="0" w:line="2"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Collateral Access Agreement</w:t>
      </w:r>
      <w:r>
        <w:rPr>
          <w:rFonts w:ascii="Times New Roman" w:cs="Times New Roman" w:eastAsia="Times New Roman" w:hAnsi="Times New Roman"/>
          <w:sz w:val="14"/>
          <w:szCs w:val="14"/>
          <w:color w:val="auto"/>
        </w:rPr>
        <w:t>” means a landlord waiver, mortgagee waiver, bailee letter or similar acknowledgment of any lessor, warehouseman, processor or other Person in possession of any Collateral or on whose Property any Collateral is located, in form and substance reasonably satisfactory to Administrative Agent.</w:t>
      </w: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Commitment</w:t>
      </w:r>
      <w:r>
        <w:rPr>
          <w:rFonts w:ascii="Times New Roman" w:cs="Times New Roman" w:eastAsia="Times New Roman" w:hAnsi="Times New Roman"/>
          <w:sz w:val="14"/>
          <w:szCs w:val="14"/>
          <w:color w:val="auto"/>
        </w:rPr>
        <w:t xml:space="preserve">” means, as to each Lender, its obligation to (a) make Revolving Credit Loans to Borrowers pursuant to </w:t>
      </w:r>
      <w:r>
        <w:rPr>
          <w:rFonts w:ascii="Times New Roman" w:cs="Times New Roman" w:eastAsia="Times New Roman" w:hAnsi="Times New Roman"/>
          <w:sz w:val="14"/>
          <w:szCs w:val="14"/>
          <w:b w:val="1"/>
          <w:bCs w:val="1"/>
          <w:i w:val="1"/>
          <w:iCs w:val="1"/>
          <w:color w:val="auto"/>
        </w:rPr>
        <w:t>Section 2.1(a)</w:t>
      </w:r>
      <w:r>
        <w:rPr>
          <w:rFonts w:ascii="Times New Roman" w:cs="Times New Roman" w:eastAsia="Times New Roman" w:hAnsi="Times New Roman"/>
          <w:sz w:val="14"/>
          <w:szCs w:val="14"/>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Times New Roman" w:cs="Times New Roman" w:eastAsia="Times New Roman" w:hAnsi="Times New Roman"/>
          <w:sz w:val="14"/>
          <w:szCs w:val="14"/>
          <w:b w:val="1"/>
          <w:bCs w:val="1"/>
          <w:i w:val="1"/>
          <w:iCs w:val="1"/>
          <w:color w:val="auto"/>
        </w:rPr>
        <w:t>Schedule 2.1</w:t>
      </w:r>
      <w:r>
        <w:rPr>
          <w:rFonts w:ascii="Times New Roman" w:cs="Times New Roman" w:eastAsia="Times New Roman" w:hAnsi="Times New Roman"/>
          <w:sz w:val="14"/>
          <w:szCs w:val="14"/>
          <w:color w:val="auto"/>
        </w:rPr>
        <w:t xml:space="preserve"> under the caption “Commitment” or opposite such caption in the Assignment and Assumption pursuant to which such Lender becomes a party hereto, as applicable, as such amount may be adjusted from time to time in accordance with this Agreement. The aggregate Commitments of the Lenders as of the Fifth Amendment Effective Date are $500,000,000.</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Commodity Account Control Agreement</w:t>
      </w:r>
      <w:r>
        <w:rPr>
          <w:rFonts w:ascii="Times New Roman" w:cs="Times New Roman" w:eastAsia="Times New Roman" w:hAnsi="Times New Roman"/>
          <w:sz w:val="14"/>
          <w:szCs w:val="14"/>
          <w:color w:val="auto"/>
        </w:rPr>
        <w:t>” has the meaning assigned to such term in the Security Agreement.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Commodity Exchange Act</w:t>
      </w:r>
      <w:r>
        <w:rPr>
          <w:rFonts w:ascii="Times New Roman" w:cs="Times New Roman" w:eastAsia="Times New Roman" w:hAnsi="Times New Roman"/>
          <w:sz w:val="14"/>
          <w:szCs w:val="14"/>
          <w:color w:val="auto"/>
        </w:rPr>
        <w:t xml:space="preserve">” means the Commodity Exchange Act (7 U.S.C. § 1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as amended from time to time, and any successor statute.</w:t>
      </w:r>
    </w:p>
    <w:p>
      <w:pPr>
        <w:spacing w:after="0" w:line="31" w:lineRule="exact"/>
        <w:rPr>
          <w:sz w:val="20"/>
          <w:szCs w:val="20"/>
          <w:color w:val="auto"/>
        </w:rPr>
      </w:pPr>
    </w:p>
    <w:p>
      <w:pPr>
        <w:jc w:val="both"/>
        <w:ind w:right="20" w:firstLine="432"/>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Communications</w:t>
      </w:r>
      <w:r>
        <w:rPr>
          <w:rFonts w:ascii="Times New Roman" w:cs="Times New Roman" w:eastAsia="Times New Roman" w:hAnsi="Times New Roman"/>
          <w:sz w:val="14"/>
          <w:szCs w:val="14"/>
          <w:color w:val="auto"/>
        </w:rPr>
        <w:t>” means, collectively, any notice, demand, communication, information, document or other material provided by or on behalf of the Loan Parties pursuant to any Loan Document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300"/>
          </w:cols>
          <w:pgMar w:left="300" w:top="287" w:right="29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or the transactions contemplated therein which is distributed to Administrative Agent, any Lender, L/C Issuer or Swing Line Lender by means of electronic communications pursuant to </w:t>
      </w:r>
      <w:r>
        <w:rPr>
          <w:rFonts w:ascii="Times New Roman" w:cs="Times New Roman" w:eastAsia="Times New Roman" w:hAnsi="Times New Roman"/>
          <w:sz w:val="14"/>
          <w:szCs w:val="14"/>
          <w:b w:val="1"/>
          <w:bCs w:val="1"/>
          <w:i w:val="1"/>
          <w:iCs w:val="1"/>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11.11(d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including through the Platform.</w:t>
      </w: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Compliance Certificate</w:t>
      </w:r>
      <w:r>
        <w:rPr>
          <w:rFonts w:ascii="Times New Roman" w:cs="Times New Roman" w:eastAsia="Times New Roman" w:hAnsi="Times New Roman"/>
          <w:sz w:val="14"/>
          <w:szCs w:val="14"/>
          <w:color w:val="auto"/>
        </w:rPr>
        <w:t xml:space="preserve">” means a certificate, substantially in the form of </w:t>
      </w:r>
      <w:r>
        <w:rPr>
          <w:rFonts w:ascii="Times New Roman" w:cs="Times New Roman" w:eastAsia="Times New Roman" w:hAnsi="Times New Roman"/>
          <w:sz w:val="14"/>
          <w:szCs w:val="14"/>
          <w:b w:val="1"/>
          <w:bCs w:val="1"/>
          <w:i w:val="1"/>
          <w:iCs w:val="1"/>
          <w:color w:val="auto"/>
        </w:rPr>
        <w:t>Exhibit C</w:t>
      </w:r>
      <w:r>
        <w:rPr>
          <w:rFonts w:ascii="Times New Roman" w:cs="Times New Roman" w:eastAsia="Times New Roman" w:hAnsi="Times New Roman"/>
          <w:sz w:val="14"/>
          <w:szCs w:val="14"/>
          <w:color w:val="auto"/>
        </w:rPr>
        <w:t>, or in any other form agreed to by Holdings and Administrative Agent, prepared by and certified by a Responsible Officer of Holdings.</w:t>
      </w:r>
    </w:p>
    <w:p>
      <w:pPr>
        <w:jc w:val="both"/>
        <w:ind w:firstLine="432"/>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Compressor Components</w:t>
      </w:r>
      <w:r>
        <w:rPr>
          <w:rFonts w:ascii="Times New Roman" w:cs="Times New Roman" w:eastAsia="Times New Roman" w:hAnsi="Times New Roman"/>
          <w:sz w:val="14"/>
          <w:szCs w:val="14"/>
          <w:color w:val="auto"/>
        </w:rPr>
        <w:t>” means each of the major serial numbered components of a Compressor Package, including an engine, compressor, compressor cylinders, natural gas and engine jacket cooler, control devices, safety shutdown panel and ancillary piping mounted on a metal skid.</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Compressor Packages</w:t>
      </w:r>
      <w:r>
        <w:rPr>
          <w:rFonts w:ascii="Times New Roman" w:cs="Times New Roman" w:eastAsia="Times New Roman" w:hAnsi="Times New Roman"/>
          <w:sz w:val="14"/>
          <w:szCs w:val="14"/>
          <w:color w:val="auto"/>
        </w:rPr>
        <w:t>” means natural gas compression equipment generally consisting of an engineered package of Compressor Components.</w:t>
      </w:r>
    </w:p>
    <w:p>
      <w:pPr>
        <w:spacing w:after="0" w:line="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Compressor Units</w:t>
      </w:r>
      <w:r>
        <w:rPr>
          <w:rFonts w:ascii="Times New Roman" w:cs="Times New Roman" w:eastAsia="Times New Roman" w:hAnsi="Times New Roman"/>
          <w:sz w:val="14"/>
          <w:szCs w:val="14"/>
          <w:color w:val="auto"/>
        </w:rPr>
        <w:t>” means Inventory of the Loan Parties consisting of completed Compressor Packages.</w:t>
      </w:r>
    </w:p>
    <w:p>
      <w:pPr>
        <w:spacing w:after="0" w:line="37" w:lineRule="exact"/>
        <w:rPr>
          <w:sz w:val="20"/>
          <w:szCs w:val="20"/>
          <w:color w:val="auto"/>
        </w:rPr>
      </w:pPr>
    </w:p>
    <w:p>
      <w:pPr>
        <w:jc w:val="both"/>
        <w:ind w:firstLine="432"/>
        <w:spacing w:after="0" w:line="24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Conforming Changes</w:t>
      </w:r>
      <w:r>
        <w:rPr>
          <w:rFonts w:ascii="Times New Roman" w:cs="Times New Roman" w:eastAsia="Times New Roman" w:hAnsi="Times New Roman"/>
          <w:sz w:val="14"/>
          <w:szCs w:val="14"/>
          <w:color w:val="auto"/>
        </w:rPr>
        <w:t>” means, with respect to the use, administration of or any conventions associated with Term SOFR or any Benchmark Replacement, as applicable, any technical, administrative or operational changes (including changes to the definitions of “Base Rate”, “Business Day”, “Interest Period” (or any similar or analogous definition), “U.S. Government Securities Business Day”, or the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Connection Income Taxes</w:t>
      </w:r>
      <w:r>
        <w:rPr>
          <w:rFonts w:ascii="Times New Roman" w:cs="Times New Roman" w:eastAsia="Times New Roman" w:hAnsi="Times New Roman"/>
          <w:sz w:val="14"/>
          <w:szCs w:val="14"/>
          <w:color w:val="auto"/>
        </w:rPr>
        <w:t>” means Other Connection Taxes that are imposed on or measured by net income (however denominated) or that are franchise Taxes or branch profits Taxes.</w:t>
      </w:r>
    </w:p>
    <w:p>
      <w:pPr>
        <w:spacing w:after="0" w:line="3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Constituent Documents</w:t>
      </w:r>
      <w:r>
        <w:rPr>
          <w:rFonts w:ascii="Times New Roman" w:cs="Times New Roman" w:eastAsia="Times New Roman" w:hAnsi="Times New Roman"/>
          <w:sz w:val="14"/>
          <w:szCs w:val="14"/>
          <w:color w:val="auto"/>
        </w:rPr>
        <w:t>” means (a) in the case of a corporation, its articles or certificate of incorporation and bylaws; (b) in the case of a general partnership, its partnership agreement; (c) in the case of a limited partnership, its certificate of limited partnership or certificate of formation, as applicable, and partnership agreement; (d) in the case of a trust, its trust agreement; (e) in the case of a joint venture, its joint venture agreement; (f) in the case of a limited liability company, its articles of organization, operating agreement, regulations and/or other organizational and governance documents and agreements; and (g) in the case of any other entity, its organizational and governance documents and agreements.</w:t>
      </w:r>
    </w:p>
    <w:p>
      <w:pPr>
        <w:spacing w:after="0" w:line="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Control</w:t>
      </w:r>
      <w:r>
        <w:rPr>
          <w:rFonts w:ascii="Times New Roman" w:cs="Times New Roman" w:eastAsia="Times New Roman" w:hAnsi="Times New Roman"/>
          <w:sz w:val="14"/>
          <w:szCs w:val="14"/>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4"/>
          <w:szCs w:val="14"/>
          <w:b w:val="1"/>
          <w:bCs w:val="1"/>
          <w:i w:val="1"/>
          <w:iCs w:val="1"/>
          <w:color w:val="auto"/>
        </w:rPr>
        <w:t>Controlling</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i w:val="1"/>
          <w:iCs w:val="1"/>
          <w:color w:val="auto"/>
        </w:rPr>
        <w:t>Controlled</w:t>
      </w:r>
      <w:r>
        <w:rPr>
          <w:rFonts w:ascii="Times New Roman" w:cs="Times New Roman" w:eastAsia="Times New Roman" w:hAnsi="Times New Roman"/>
          <w:sz w:val="14"/>
          <w:szCs w:val="14"/>
          <w:color w:val="auto"/>
        </w:rPr>
        <w:t>” have correlative meanings thereto.</w:t>
      </w: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Control Agreements</w:t>
      </w:r>
      <w:r>
        <w:rPr>
          <w:rFonts w:ascii="Times New Roman" w:cs="Times New Roman" w:eastAsia="Times New Roman" w:hAnsi="Times New Roman"/>
          <w:sz w:val="14"/>
          <w:szCs w:val="14"/>
          <w:color w:val="auto"/>
        </w:rPr>
        <w:t>” means, collectively, the Commodity Account Control Agreements, the Deposit Account Control Agreements and the Securities Account Control Agreements, in each case, as the same may be amended, restated, supplemented or otherwise modified from time to time.</w:t>
      </w:r>
    </w:p>
    <w:p>
      <w:pPr>
        <w:jc w:val="both"/>
        <w:ind w:firstLine="432"/>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Covered Entity</w:t>
      </w:r>
      <w:r>
        <w:rPr>
          <w:rFonts w:ascii="Times New Roman" w:cs="Times New Roman" w:eastAsia="Times New Roman" w:hAnsi="Times New Roman"/>
          <w:sz w:val="14"/>
          <w:szCs w:val="14"/>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Covered Party</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11.30</w:t>
      </w:r>
      <w:r>
        <w:rPr>
          <w:rFonts w:ascii="Times New Roman" w:cs="Times New Roman" w:eastAsia="Times New Roman" w:hAnsi="Times New Roman"/>
          <w:sz w:val="14"/>
          <w:szCs w:val="14"/>
          <w:color w:val="auto"/>
        </w:rPr>
        <w:t>.</w:t>
      </w:r>
    </w:p>
    <w:p>
      <w:pPr>
        <w:spacing w:after="0" w:line="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Credit Extension</w:t>
      </w:r>
      <w:r>
        <w:rPr>
          <w:rFonts w:ascii="Times New Roman" w:cs="Times New Roman" w:eastAsia="Times New Roman" w:hAnsi="Times New Roman"/>
          <w:sz w:val="14"/>
          <w:szCs w:val="14"/>
          <w:color w:val="auto"/>
        </w:rPr>
        <w:t>” means each of (a) a Borrowing and (b) an L/C Credit Extension.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300"/>
          </w:cols>
          <w:pgMar w:left="300" w:top="287" w:right="29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Daily Simple SOFR</w:t>
      </w:r>
      <w:r>
        <w:rPr>
          <w:rFonts w:ascii="Times New Roman" w:cs="Times New Roman" w:eastAsia="Times New Roman" w:hAnsi="Times New Roman"/>
          <w:sz w:val="14"/>
          <w:szCs w:val="14"/>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Daily Simple SOFR Loan</w:t>
      </w:r>
      <w:r>
        <w:rPr>
          <w:rFonts w:ascii="Times New Roman" w:cs="Times New Roman" w:eastAsia="Times New Roman" w:hAnsi="Times New Roman"/>
          <w:sz w:val="14"/>
          <w:szCs w:val="14"/>
          <w:color w:val="auto"/>
        </w:rPr>
        <w:t>” means a Loan bearing interest based on Daily Simple SOFR.</w:t>
      </w:r>
    </w:p>
    <w:p>
      <w:pPr>
        <w:spacing w:after="0" w:line="37" w:lineRule="exact"/>
        <w:rPr>
          <w:sz w:val="20"/>
          <w:szCs w:val="20"/>
          <w:color w:val="auto"/>
        </w:rPr>
      </w:pPr>
    </w:p>
    <w:p>
      <w:pPr>
        <w:jc w:val="both"/>
        <w:ind w:firstLine="432"/>
        <w:spacing w:after="0" w:line="164"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Debt</w:t>
      </w:r>
      <w:r>
        <w:rPr>
          <w:rFonts w:ascii="Times New Roman" w:cs="Times New Roman" w:eastAsia="Times New Roman" w:hAnsi="Times New Roman"/>
          <w:sz w:val="14"/>
          <w:szCs w:val="14"/>
          <w:color w:val="auto"/>
        </w:rPr>
        <w:t>” means, of any Person as of any date of determination (without duplication): (a) all obligations of such Person for borrowed money; (b) all obligations of such Person evidenced by bonds, notes, debentures, or other similar instruments; (c) all obligations of such Person to pay the deferred purchase price of Property or services, except trade accounts payable of such Person arising in the ordinary course of business that are not past due by more than ninety (90) days; (d) all Capitalized Lease Obligations of such Person; (e) all Debt or other obligations of others Guaranteed by such Person; (f) all obligations secured by a Lien existing on Property owned by such Person, whether or not the obligations secured thereby have been assumed by such Person or are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recourse to the credit of such Person; (g) any other obligation for borrowed money or other financial accommodations which in accordance with GAAP would be shown as a liability on the balance sheet of such Person; (h) any repurchase obligation or liability of a Person with respect to Accounts, chattel paper or notes receivable sold by such Person; (i) any liability under a sale and leaseback transaction that is not a Capitalized Lease Obligation; (j) any obligation under any so called “synthetic leases;” (k) any obligation arising with respect to any other transaction that is the functional equivalent of borrowing but which does not constitute a liability on the balance sheet of a Person; (l) all payment and reimbursement obligations of such Person (whether contingent or otherwise) in respect of letters of credit, bankers’ acceptances, surety or other bonds and similar instruments; (m) all liabilities of such Person in respect of unfunded vested benefits under any Plan; (n) all Hedge Obligations of such Person, valued at the Hedge Termination Value thereof; and (o) all obligations of such Person in respect of Disqualified Equity Interests.</w:t>
      </w:r>
    </w:p>
    <w:p>
      <w:pPr>
        <w:spacing w:after="0" w:line="14"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4"/>
          <w:szCs w:val="14"/>
          <w:color w:val="auto"/>
        </w:rPr>
        <w:t>For all purposes, the Debt of any Person shall include the Debt of any partnership or joint venture (other than a joint venture that is itself a corporation or limited liability company) in which such Person is a general partner or a joint venturer, unless such Debt is expressly made non-recourse to such Person.</w:t>
      </w: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Debt Service</w:t>
      </w:r>
      <w:r>
        <w:rPr>
          <w:rFonts w:ascii="Times New Roman" w:cs="Times New Roman" w:eastAsia="Times New Roman" w:hAnsi="Times New Roman"/>
          <w:sz w:val="14"/>
          <w:szCs w:val="14"/>
          <w:color w:val="auto"/>
        </w:rPr>
        <w:t>” means, for any Person for any period, the sum of all regularly scheduled principal payments (including without limitation, mandatory and voluntary prepayments of principal payments made in respect of the Subordinated Debt) and all Cash Interest Expense that are paid or payable during such period in respect of all Debt of such Person (other than scheduled payments of principal on Debt which pay such Debt in full, but only to the extent such final payment is greater than the scheduled principal payment immediately preceding such final payment).</w:t>
      </w:r>
    </w:p>
    <w:p>
      <w:pPr>
        <w:spacing w:after="0" w:line="2"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Debtor Relief Laws</w:t>
      </w:r>
      <w:r>
        <w:rPr>
          <w:rFonts w:ascii="Times New Roman" w:cs="Times New Roman" w:eastAsia="Times New Roman" w:hAnsi="Times New Roman"/>
          <w:sz w:val="14"/>
          <w:szCs w:val="14"/>
          <w:color w:val="auto"/>
        </w:rPr>
        <w:t>” means Title 11 of the United States Code, as now or hereafter in effect, or any other applicable Law, domestic or foreign, as now or hereafter in effect, relating to bankruptcy, insolvency, liquidation, receivership, reorganization, assignment for the benefit of creditors, moratorium, arrangement or composition, extension or adjustment of debts, or similar Laws affecting the rights of creditors.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Default</w:t>
      </w:r>
      <w:r>
        <w:rPr>
          <w:rFonts w:ascii="Times New Roman" w:cs="Times New Roman" w:eastAsia="Times New Roman" w:hAnsi="Times New Roman"/>
          <w:sz w:val="14"/>
          <w:szCs w:val="14"/>
          <w:color w:val="auto"/>
        </w:rPr>
        <w:t>” means an event or condition which constitutes an Event of Default or which upon notice or lapse of time or both would become an Event of Default.</w:t>
      </w:r>
    </w:p>
    <w:p>
      <w:pPr>
        <w:spacing w:after="0" w:line="3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Default Interest Rate</w:t>
      </w:r>
      <w:r>
        <w:rPr>
          <w:rFonts w:ascii="Times New Roman" w:cs="Times New Roman" w:eastAsia="Times New Roman" w:hAnsi="Times New Roman"/>
          <w:sz w:val="14"/>
          <w:szCs w:val="14"/>
          <w:color w:val="auto"/>
        </w:rPr>
        <w:t xml:space="preserve">” means (a) when used with respect to Obligations other than Letter of Credit Fees, an interest rate equal to (i) the Base Rate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(ii) the Applicable Margin, if any, applicable to a Base Rate Loan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(iii) two percent (2%) per annum;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with respect to a Benchmark Rate Loan, the Default Interest Rate shall be an interest rate equal to the interest rate (including any Applicable Margin) otherwise applicable to such Loan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two percent (2%) per annum, and (b) when used with respect to Letter of Credit Fees, a rate equal to the Applicable Margin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two percent (2%) per annum;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in no event shall the Default Interest Rate exceed the Maximum Rate.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300"/>
          </w:cols>
          <w:pgMar w:left="300" w:top="287" w:right="29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Default Right</w:t>
      </w:r>
      <w:r>
        <w:rPr>
          <w:rFonts w:ascii="Times New Roman" w:cs="Times New Roman" w:eastAsia="Times New Roman" w:hAnsi="Times New Roman"/>
          <w:sz w:val="14"/>
          <w:szCs w:val="14"/>
          <w:color w:val="auto"/>
        </w:rPr>
        <w:t>” has the meaning assigned to that term in, and shall be interpreted in accordance with, 12 C.F.R. §§ 252.81, 47.2 or 382.1, as applicable.</w:t>
      </w:r>
    </w:p>
    <w:p>
      <w:pPr>
        <w:spacing w:after="0" w:line="37"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Defaulting Lender</w:t>
      </w:r>
      <w:r>
        <w:rPr>
          <w:rFonts w:ascii="Times New Roman" w:cs="Times New Roman" w:eastAsia="Times New Roman" w:hAnsi="Times New Roman"/>
          <w:sz w:val="14"/>
          <w:szCs w:val="14"/>
          <w:color w:val="auto"/>
        </w:rPr>
        <w:t xml:space="preserve">” means, subject to </w:t>
      </w:r>
      <w:r>
        <w:rPr>
          <w:rFonts w:ascii="Times New Roman" w:cs="Times New Roman" w:eastAsia="Times New Roman" w:hAnsi="Times New Roman"/>
          <w:sz w:val="14"/>
          <w:szCs w:val="14"/>
          <w:b w:val="1"/>
          <w:bCs w:val="1"/>
          <w:i w:val="1"/>
          <w:iCs w:val="1"/>
          <w:color w:val="auto"/>
        </w:rPr>
        <w:t>Section 11.21(b)</w:t>
      </w:r>
      <w:r>
        <w:rPr>
          <w:rFonts w:ascii="Times New Roman" w:cs="Times New Roman" w:eastAsia="Times New Roman" w:hAnsi="Times New Roman"/>
          <w:sz w:val="14"/>
          <w:szCs w:val="14"/>
          <w:color w:val="auto"/>
        </w:rPr>
        <w:t>, any Lender that (a) has failed to (i) fund all or any portion of its Loans within two (2) Business Days of the date such Loans were required to be funded hereunder, or (ii) pay to Administrative Agent, the L/C Issuer, the Swing Line Lender or any other Lender any other amount required to be paid by it hereunder (including in respect of its participation in Letters of Credit or Swing Line Loans) within two (2) Business Days of the date when due, (b) has notified the Borrower Representative, Administrative Agent, L/C Issuer or Swing Line Lender in writing that it does not intend to comply with its funding obligations hereunder, or has made a public statement to that effect, (c) has failed, within three (3) Business Days after written request by Administrative Agent or the Borrower Representative, to confirm in writing to Administrative Agent and the Borrower Representative that it will comply with its prospective funding obligations hereunder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Lender shall cease to be a Defaulting Lender pursuant to this </w:t>
      </w:r>
      <w:r>
        <w:rPr>
          <w:rFonts w:ascii="Times New Roman" w:cs="Times New Roman" w:eastAsia="Times New Roman" w:hAnsi="Times New Roman"/>
          <w:sz w:val="14"/>
          <w:szCs w:val="14"/>
          <w:b w:val="1"/>
          <w:bCs w:val="1"/>
          <w:i w:val="1"/>
          <w:iCs w:val="1"/>
          <w:color w:val="auto"/>
        </w:rPr>
        <w:t>clause (c)</w:t>
      </w:r>
      <w:r>
        <w:rPr>
          <w:rFonts w:ascii="Times New Roman" w:cs="Times New Roman" w:eastAsia="Times New Roman" w:hAnsi="Times New Roman"/>
          <w:sz w:val="14"/>
          <w:szCs w:val="14"/>
          <w:color w:val="auto"/>
        </w:rPr>
        <w:t xml:space="preserve"> upon receipt of such written confirmation by Administrative Agent and the Borrower Representative),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Administrative Agent that a Lender is a Defaulting Lender under any one or more of </w:t>
      </w:r>
      <w:r>
        <w:rPr>
          <w:rFonts w:ascii="Times New Roman" w:cs="Times New Roman" w:eastAsia="Times New Roman" w:hAnsi="Times New Roman"/>
          <w:sz w:val="14"/>
          <w:szCs w:val="14"/>
          <w:b w:val="1"/>
          <w:bCs w:val="1"/>
          <w:i w:val="1"/>
          <w:iCs w:val="1"/>
          <w:color w:val="auto"/>
        </w:rPr>
        <w:t>clauses (a)</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b w:val="1"/>
          <w:bCs w:val="1"/>
          <w:i w:val="1"/>
          <w:iCs w:val="1"/>
          <w:color w:val="auto"/>
        </w:rPr>
        <w:t>(d)</w:t>
      </w:r>
      <w:r>
        <w:rPr>
          <w:rFonts w:ascii="Times New Roman" w:cs="Times New Roman" w:eastAsia="Times New Roman" w:hAnsi="Times New Roman"/>
          <w:sz w:val="14"/>
          <w:szCs w:val="14"/>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14"/>
          <w:szCs w:val="14"/>
          <w:b w:val="1"/>
          <w:bCs w:val="1"/>
          <w:i w:val="1"/>
          <w:iCs w:val="1"/>
          <w:color w:val="auto"/>
        </w:rPr>
        <w:t>Section 11.21(b)</w:t>
      </w:r>
      <w:r>
        <w:rPr>
          <w:rFonts w:ascii="Times New Roman" w:cs="Times New Roman" w:eastAsia="Times New Roman" w:hAnsi="Times New Roman"/>
          <w:sz w:val="14"/>
          <w:szCs w:val="14"/>
          <w:color w:val="auto"/>
        </w:rPr>
        <w:t>) upon delivery of written notice of such determination to the Borrower Representative and each Lender.</w:t>
      </w:r>
    </w:p>
    <w:p>
      <w:pPr>
        <w:spacing w:after="0" w:line="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Deposit Account Control Agreement</w:t>
      </w:r>
      <w:r>
        <w:rPr>
          <w:rFonts w:ascii="Times New Roman" w:cs="Times New Roman" w:eastAsia="Times New Roman" w:hAnsi="Times New Roman"/>
          <w:sz w:val="14"/>
          <w:szCs w:val="14"/>
          <w:color w:val="auto"/>
        </w:rPr>
        <w:t>” has the meaning assigned to such term in the Security Agreement.</w:t>
      </w:r>
    </w:p>
    <w:p>
      <w:pPr>
        <w:spacing w:after="0" w:line="3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Disposition</w:t>
      </w:r>
      <w:r>
        <w:rPr>
          <w:rFonts w:ascii="Times New Roman" w:cs="Times New Roman" w:eastAsia="Times New Roman" w:hAnsi="Times New Roman"/>
          <w:sz w:val="14"/>
          <w:szCs w:val="14"/>
          <w:color w:val="auto"/>
        </w:rPr>
        <w:t>” means any sale, lease, sub-lease, license, transfer, assignment, conveyance, release, loss or other disposition, or entry into any contract the performance of which would result in any of the foregoing, of any interest in Property, or of any interest in a Subsidiary that owns Property, in any transaction or event or series of transactions or events, and “</w:t>
      </w:r>
      <w:r>
        <w:rPr>
          <w:rFonts w:ascii="Times New Roman" w:cs="Times New Roman" w:eastAsia="Times New Roman" w:hAnsi="Times New Roman"/>
          <w:sz w:val="14"/>
          <w:szCs w:val="14"/>
          <w:b w:val="1"/>
          <w:bCs w:val="1"/>
          <w:i w:val="1"/>
          <w:iCs w:val="1"/>
          <w:color w:val="auto"/>
        </w:rPr>
        <w:t>Dispose</w:t>
      </w:r>
      <w:r>
        <w:rPr>
          <w:rFonts w:ascii="Times New Roman" w:cs="Times New Roman" w:eastAsia="Times New Roman" w:hAnsi="Times New Roman"/>
          <w:sz w:val="14"/>
          <w:szCs w:val="14"/>
          <w:color w:val="auto"/>
        </w:rPr>
        <w:t>” has the correlative meaning thereto.</w:t>
      </w:r>
    </w:p>
    <w:p>
      <w:pPr>
        <w:spacing w:after="0" w:line="2"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Disqualified Equity Interest</w:t>
      </w:r>
      <w:r>
        <w:rPr>
          <w:rFonts w:ascii="Times New Roman" w:cs="Times New Roman" w:eastAsia="Times New Roman" w:hAnsi="Times New Roman"/>
          <w:sz w:val="14"/>
          <w:szCs w:val="14"/>
          <w:color w:val="auto"/>
        </w:rPr>
        <w:t xml:space="preserve">” means any Equity Interest that, by its terms (or the terms of any security or other Equity Interests into which it is convertible or for which it is exchangeable), or upon the happening of any event or condition (a) matures or is mandatorily redeemable (other than solely for Equity Interests that are not Disqualified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is redeemable at the option of the holder thereof, in whole or in part, (c) provides for scheduled payments of dividends in cash, or (d) is or becomes convertible into or exchangeable for Debt or any other Equity Interests that would constitute Disqualified Equity Interests, in each case, prior to the date that is ninety-one days after the Maturity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such Equity Interests are issued pursuant to a plan for the benefit of employees of any Loan Party or any of its Subsidiaries or by any such plan to such employees, such Equity Interests shall not constitute Disqualified Equity Interests solely because they may be required to be repurchased by any Loan Party or its Subsidiaries in order to satisfy applicable statutory or regulatory obligations or as a result of such employee’s termination, death or disability.</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Document</w:t>
      </w:r>
      <w:r>
        <w:rPr>
          <w:rFonts w:ascii="Times New Roman" w:cs="Times New Roman" w:eastAsia="Times New Roman" w:hAnsi="Times New Roman"/>
          <w:sz w:val="14"/>
          <w:szCs w:val="14"/>
          <w:color w:val="auto"/>
        </w:rPr>
        <w:t>” shall have the meaning set forth in Article 9 of the UCC.</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Dollars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mean lawful money of the United States of America.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300"/>
          </w:cols>
          <w:pgMar w:left="300" w:top="287" w:right="299" w:bottom="1440" w:gutter="0" w:footer="0" w:header="0"/>
        </w:sectPr>
      </w:pPr>
    </w:p>
    <w:bookmarkStart w:id="101" w:name="page102"/>
    <w:bookmarkEnd w:id="101"/>
    <w:p>
      <w:pPr>
        <w:ind w:left="1068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Domestic Subsidiary</w:t>
      </w:r>
      <w:r>
        <w:rPr>
          <w:rFonts w:ascii="Times New Roman" w:cs="Times New Roman" w:eastAsia="Times New Roman" w:hAnsi="Times New Roman"/>
          <w:sz w:val="14"/>
          <w:szCs w:val="14"/>
          <w:color w:val="auto"/>
        </w:rPr>
        <w:t>” means any Subsidiary that is organized under the Laws of any political subdivision of the United States.</w:t>
      </w:r>
    </w:p>
    <w:p>
      <w:pPr>
        <w:spacing w:after="0" w:line="37" w:lineRule="exact"/>
        <w:rPr>
          <w:sz w:val="20"/>
          <w:szCs w:val="20"/>
          <w:color w:val="auto"/>
        </w:rPr>
      </w:pPr>
    </w:p>
    <w:p>
      <w:pPr>
        <w:jc w:val="both"/>
        <w:ind w:firstLine="432"/>
        <w:spacing w:after="0" w:line="164"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EBITDA</w:t>
      </w:r>
      <w:r>
        <w:rPr>
          <w:rFonts w:ascii="Times New Roman" w:cs="Times New Roman" w:eastAsia="Times New Roman" w:hAnsi="Times New Roman"/>
          <w:sz w:val="14"/>
          <w:szCs w:val="14"/>
          <w:color w:val="auto"/>
        </w:rPr>
        <w:t xml:space="preserve">” means, for any period, the total amount of the following for Holdings and its Subsidiaries on a consolidated basis, each calculated for such period: (a) Net Income,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(b) the sum (in each case, without duplication) of the following to the extent deducted in the calculation of Net Income (other than </w:t>
      </w:r>
      <w:r>
        <w:rPr>
          <w:rFonts w:ascii="Times New Roman" w:cs="Times New Roman" w:eastAsia="Times New Roman" w:hAnsi="Times New Roman"/>
          <w:sz w:val="14"/>
          <w:szCs w:val="14"/>
          <w:b w:val="1"/>
          <w:bCs w:val="1"/>
          <w:i w:val="1"/>
          <w:iCs w:val="1"/>
          <w:color w:val="auto"/>
        </w:rPr>
        <w:t>clause (b)(xii)</w:t>
      </w:r>
      <w:r>
        <w:rPr>
          <w:rFonts w:ascii="Times New Roman" w:cs="Times New Roman" w:eastAsia="Times New Roman" w:hAnsi="Times New Roman"/>
          <w:sz w:val="14"/>
          <w:szCs w:val="14"/>
          <w:color w:val="auto"/>
        </w:rPr>
        <w:t>): (i) interest expense; (ii) Taxes based on income or profits; (iii) depreciation; (iv) amortization; (v) losses that are unusual and infrequently occurring determined in accordance with GAAP; (vi) the amount of any non-cash equity-based compensation charges or expenses approved by the board of directors of Holdings; (vii) other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recurring expenses reducing such Net Income which do not represent a cash item in such period or any future period; (viii) the actual cash transaction costs, fees and expenses incurred on or prior to the Closing Date in connection with the Transactions consummated on the Closing Date; (ix) [reserved]; (x) the actual cash transaction costs, fees and expenses (including legal fees, accounting fees, financial advisory fees, filing fees, and other professional fees and out-of-pocket expenses) incurred during such period in connection with (A) any amendment, restatement, supplement, waiver, consent, or other modification of this Agreement or any other Loan Document, (B) any Permitted Refinancing of Debt permitted under this Agreement, (C) any issuance, incurrence, or repayment of Debt permitted under this Agreement, (D) any issuance of Equity Interests by Holdings, (E) any Permitted Acquisition (whether or not consummated), (F) any Disposition outside of the ordinary course of business permitted under this Agreement or (G) any other investment permitted under this Agreement; (xi) the amount of any non-recurring, unusual and other one-time restructuring charges (which, for the avoidance of doubt, shall include retention, severance, systems establishment costs and excess pension, other post-employment benefits, curtailment and other excess charges); and (xii) cost savings and synergies projected by Holdings in good faith to be realized, as a result of specified actions taken or expected to be taken in connection with Permitted Acquisitions, within 12 months of the end of such period (calculated on a pro forma basis as though such cost savings and synergies had been realized on the first day of such period), net of the amount of actual benefits realized during such period from such actions; </w:t>
      </w:r>
      <w:r>
        <w:rPr>
          <w:rFonts w:ascii="Times New Roman" w:cs="Times New Roman" w:eastAsia="Times New Roman" w:hAnsi="Times New Roman"/>
          <w:sz w:val="14"/>
          <w:szCs w:val="14"/>
          <w:i w:val="1"/>
          <w:iCs w:val="1"/>
          <w:color w:val="auto"/>
        </w:rPr>
        <w:t>provided that</w:t>
      </w:r>
      <w:r>
        <w:rPr>
          <w:rFonts w:ascii="Times New Roman" w:cs="Times New Roman" w:eastAsia="Times New Roman" w:hAnsi="Times New Roman"/>
          <w:sz w:val="14"/>
          <w:szCs w:val="14"/>
          <w:color w:val="auto"/>
        </w:rPr>
        <w:t xml:space="preserve"> (1) such cost savings and synergies are reasonably identifiable and factually supportable (as reasonably determined in good faith by Holdings), (2) no cost-savings or synergies may be included pursuant to this </w:t>
      </w:r>
      <w:r>
        <w:rPr>
          <w:rFonts w:ascii="Times New Roman" w:cs="Times New Roman" w:eastAsia="Times New Roman" w:hAnsi="Times New Roman"/>
          <w:sz w:val="14"/>
          <w:szCs w:val="14"/>
          <w:b w:val="1"/>
          <w:bCs w:val="1"/>
          <w:i w:val="1"/>
          <w:iCs w:val="1"/>
          <w:color w:val="auto"/>
        </w:rPr>
        <w:t>clause (b)(xii)</w:t>
      </w:r>
      <w:r>
        <w:rPr>
          <w:rFonts w:ascii="Times New Roman" w:cs="Times New Roman" w:eastAsia="Times New Roman" w:hAnsi="Times New Roman"/>
          <w:sz w:val="14"/>
          <w:szCs w:val="14"/>
          <w:color w:val="auto"/>
        </w:rPr>
        <w:t xml:space="preserve"> to the extent duplicative of any expenses or charges relating thereto that are either excluded in computing Net Income or included (i.e., added back) in computing EBITDA for such period, and (3) such adjustments may be incremental to (but not duplicative of) pro forma adjustments made pursuant to </w:t>
      </w:r>
      <w:r>
        <w:rPr>
          <w:rFonts w:ascii="Times New Roman" w:cs="Times New Roman" w:eastAsia="Times New Roman" w:hAnsi="Times New Roman"/>
          <w:sz w:val="14"/>
          <w:szCs w:val="14"/>
          <w:b w:val="1"/>
          <w:bCs w:val="1"/>
          <w:i w:val="1"/>
          <w:iCs w:val="1"/>
          <w:color w:val="auto"/>
        </w:rPr>
        <w:t>Section 1.10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(c) the sum (in each case, without duplication) of the following to the extent included in the calculation of Net Income: (i) income tax credits; (ii) gains that are unusual and infrequently occurring determined in accordance with GAAP; and (iii) all non-recurring,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items increasing Net Income.</w:t>
      </w:r>
    </w:p>
    <w:p>
      <w:pPr>
        <w:spacing w:after="0" w:line="168"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4"/>
          <w:szCs w:val="14"/>
          <w:color w:val="auto"/>
        </w:rPr>
        <w:t xml:space="preserve">Notwithstanding anything to the contrary in the foregoing, (I) the aggregate amount of add-backs made pursuant to </w:t>
      </w:r>
      <w:r>
        <w:rPr>
          <w:rFonts w:ascii="Times New Roman" w:cs="Times New Roman" w:eastAsia="Times New Roman" w:hAnsi="Times New Roman"/>
          <w:sz w:val="14"/>
          <w:szCs w:val="14"/>
          <w:b w:val="1"/>
          <w:bCs w:val="1"/>
          <w:i w:val="1"/>
          <w:iCs w:val="1"/>
          <w:color w:val="auto"/>
        </w:rPr>
        <w:t>clauses (b)(x)</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(b)(xi)</w:t>
      </w:r>
      <w:r>
        <w:rPr>
          <w:rFonts w:ascii="Times New Roman" w:cs="Times New Roman" w:eastAsia="Times New Roman" w:hAnsi="Times New Roman"/>
          <w:sz w:val="14"/>
          <w:szCs w:val="14"/>
          <w:color w:val="auto"/>
        </w:rPr>
        <w:t xml:space="preserve"> above shall not exceed 10.0% of EBITDA (calculated prior to giving effect to any add-backs pursuant to </w:t>
      </w:r>
      <w:r>
        <w:rPr>
          <w:rFonts w:ascii="Times New Roman" w:cs="Times New Roman" w:eastAsia="Times New Roman" w:hAnsi="Times New Roman"/>
          <w:sz w:val="14"/>
          <w:szCs w:val="14"/>
          <w:b w:val="1"/>
          <w:bCs w:val="1"/>
          <w:i w:val="1"/>
          <w:iCs w:val="1"/>
          <w:color w:val="auto"/>
        </w:rPr>
        <w:t>clauses (b)(x)</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(b)(xi)</w:t>
      </w:r>
      <w:r>
        <w:rPr>
          <w:rFonts w:ascii="Times New Roman" w:cs="Times New Roman" w:eastAsia="Times New Roman" w:hAnsi="Times New Roman"/>
          <w:sz w:val="14"/>
          <w:szCs w:val="14"/>
          <w:color w:val="auto"/>
        </w:rPr>
        <w:t xml:space="preserve">) for such period and (II) the aggregate amount of add-backs made pursuant to </w:t>
      </w:r>
      <w:r>
        <w:rPr>
          <w:rFonts w:ascii="Times New Roman" w:cs="Times New Roman" w:eastAsia="Times New Roman" w:hAnsi="Times New Roman"/>
          <w:sz w:val="14"/>
          <w:szCs w:val="14"/>
          <w:b w:val="1"/>
          <w:bCs w:val="1"/>
          <w:i w:val="1"/>
          <w:iCs w:val="1"/>
          <w:color w:val="auto"/>
        </w:rPr>
        <w:t>clause (b)(xii)</w:t>
      </w:r>
      <w:r>
        <w:rPr>
          <w:rFonts w:ascii="Times New Roman" w:cs="Times New Roman" w:eastAsia="Times New Roman" w:hAnsi="Times New Roman"/>
          <w:sz w:val="14"/>
          <w:szCs w:val="14"/>
          <w:color w:val="auto"/>
        </w:rPr>
        <w:t xml:space="preserve"> above shall not exceed $5,000,000 during any consecutive twelve-month period.</w:t>
      </w:r>
    </w:p>
    <w:p>
      <w:pPr>
        <w:spacing w:after="0" w:line="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EEA Financial Institution</w:t>
      </w:r>
      <w:r>
        <w:rPr>
          <w:rFonts w:ascii="Times New Roman" w:cs="Times New Roman" w:eastAsia="Times New Roman" w:hAnsi="Times New Roman"/>
          <w:sz w:val="14"/>
          <w:szCs w:val="14"/>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4"/>
          <w:szCs w:val="14"/>
          <w:b w:val="1"/>
          <w:bCs w:val="1"/>
          <w:i w:val="1"/>
          <w:iCs w:val="1"/>
          <w:color w:val="auto"/>
        </w:rPr>
        <w:t>clause (a)</w:t>
      </w:r>
      <w:r>
        <w:rPr>
          <w:rFonts w:ascii="Times New Roman" w:cs="Times New Roman" w:eastAsia="Times New Roman" w:hAnsi="Times New Roman"/>
          <w:sz w:val="14"/>
          <w:szCs w:val="14"/>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4"/>
          <w:szCs w:val="14"/>
          <w:b w:val="1"/>
          <w:bCs w:val="1"/>
          <w:i w:val="1"/>
          <w:iCs w:val="1"/>
          <w:color w:val="auto"/>
        </w:rPr>
        <w:t>clauses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(b)</w:t>
      </w:r>
      <w:r>
        <w:rPr>
          <w:rFonts w:ascii="Times New Roman" w:cs="Times New Roman" w:eastAsia="Times New Roman" w:hAnsi="Times New Roman"/>
          <w:sz w:val="14"/>
          <w:szCs w:val="14"/>
          <w:color w:val="auto"/>
        </w:rPr>
        <w:t xml:space="preserve"> of this definition and is subject to consolidated supervision with its parent.</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EEA Member Country</w:t>
      </w:r>
      <w:r>
        <w:rPr>
          <w:rFonts w:ascii="Times New Roman" w:cs="Times New Roman" w:eastAsia="Times New Roman" w:hAnsi="Times New Roman"/>
          <w:sz w:val="14"/>
          <w:szCs w:val="14"/>
          <w:color w:val="auto"/>
        </w:rPr>
        <w:t>” means any of the member states of the European Union, Iceland, Liechtenstein, and Norway.</w:t>
      </w:r>
    </w:p>
    <w:p>
      <w:pPr>
        <w:spacing w:after="0" w:line="37" w:lineRule="exact"/>
        <w:rPr>
          <w:sz w:val="20"/>
          <w:szCs w:val="20"/>
          <w:color w:val="auto"/>
        </w:rPr>
      </w:pPr>
    </w:p>
    <w:p>
      <w:pPr>
        <w:jc w:val="both"/>
        <w:ind w:firstLine="432"/>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EEA Resolution Authority</w:t>
      </w:r>
      <w:r>
        <w:rPr>
          <w:rFonts w:ascii="Times New Roman" w:cs="Times New Roman" w:eastAsia="Times New Roman" w:hAnsi="Times New Roman"/>
          <w:sz w:val="14"/>
          <w:szCs w:val="14"/>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300"/>
          </w:cols>
          <w:pgMar w:left="300" w:top="287" w:right="29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Electronic Record</w:t>
      </w:r>
      <w:r>
        <w:rPr>
          <w:rFonts w:ascii="Times New Roman" w:cs="Times New Roman" w:eastAsia="Times New Roman" w:hAnsi="Times New Roman"/>
          <w:sz w:val="14"/>
          <w:szCs w:val="14"/>
          <w:color w:val="auto"/>
        </w:rPr>
        <w:t>” has the meaning assigned to that term in, and shall be interpreted in accordance with, 15 U.S.C. 7006.</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Electronic Signature</w:t>
      </w:r>
      <w:r>
        <w:rPr>
          <w:rFonts w:ascii="Times New Roman" w:cs="Times New Roman" w:eastAsia="Times New Roman" w:hAnsi="Times New Roman"/>
          <w:sz w:val="14"/>
          <w:szCs w:val="14"/>
          <w:color w:val="auto"/>
        </w:rPr>
        <w:t>” has the meaning assigned to that term in, and shall be interpreted in accordance with, 15 U.S.C. 7006.</w:t>
      </w:r>
    </w:p>
    <w:p>
      <w:pPr>
        <w:spacing w:after="0" w:line="37"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Eligible Accounts</w:t>
      </w:r>
      <w:r>
        <w:rPr>
          <w:rFonts w:ascii="Times New Roman" w:cs="Times New Roman" w:eastAsia="Times New Roman" w:hAnsi="Times New Roman"/>
          <w:sz w:val="14"/>
          <w:szCs w:val="14"/>
          <w:color w:val="auto"/>
        </w:rPr>
        <w:t>” means, as of any applicable period of determination thereof, all Accounts of the Loan Parties (net of service charges, interest and finance fees) created in the ordinary course of business that Administrative Agent determines in its Permitted Discretion is eligible as the basis for the extension of Credit Extensions. Without limiting the foregoing, no Account shall be an Eligible Account if:</w:t>
      </w:r>
    </w:p>
    <w:p>
      <w:pPr>
        <w:spacing w:after="0" w:line="1" w:lineRule="exact"/>
        <w:rPr>
          <w:sz w:val="20"/>
          <w:szCs w:val="20"/>
          <w:color w:val="auto"/>
        </w:rPr>
      </w:pPr>
    </w:p>
    <w:p>
      <w:pPr>
        <w:ind w:right="20" w:firstLine="436"/>
        <w:spacing w:after="0" w:line="261" w:lineRule="auto"/>
        <w:tabs>
          <w:tab w:leader="none" w:pos="769"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does not comply in all material respects with all applicable Laws, rules, and regulations, including, without limitation, usury Laws, the Federal Truth in Lending Act, and Regulation Z of the Board of Governors;</w:t>
      </w:r>
    </w:p>
    <w:p>
      <w:pPr>
        <w:ind w:left="740" w:hanging="304"/>
        <w:spacing w:after="0"/>
        <w:tabs>
          <w:tab w:leader="none" w:pos="7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been outstanding for more than ninety (90) days past the original date of invoice or sixty (60) days after the original date payment is due;</w:t>
      </w:r>
    </w:p>
    <w:p>
      <w:pPr>
        <w:spacing w:after="0" w:line="37" w:lineRule="exact"/>
        <w:rPr>
          <w:rFonts w:ascii="Times New Roman" w:cs="Times New Roman" w:eastAsia="Times New Roman" w:hAnsi="Times New Roman"/>
          <w:sz w:val="14"/>
          <w:szCs w:val="14"/>
          <w:color w:val="auto"/>
        </w:rPr>
      </w:pPr>
    </w:p>
    <w:p>
      <w:pPr>
        <w:ind w:firstLine="436"/>
        <w:spacing w:after="0" w:line="268" w:lineRule="auto"/>
        <w:tabs>
          <w:tab w:leader="none" w:pos="74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goods giving rise to it have not been delivered to the account debtor and do not constitute a final sale or (ii) the services giving rise to it have not been performed for the account debtor;</w:t>
      </w:r>
    </w:p>
    <w:p>
      <w:pPr>
        <w:ind w:left="740" w:hanging="304"/>
        <w:spacing w:after="0"/>
        <w:tabs>
          <w:tab w:leader="none" w:pos="7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represents a progress billing or retainage, or relates to services for which a performance, surety or completion bond or similar assurance has been issued;</w:t>
      </w:r>
    </w:p>
    <w:p>
      <w:pPr>
        <w:spacing w:after="0" w:line="27" w:lineRule="exact"/>
        <w:rPr>
          <w:rFonts w:ascii="Times New Roman" w:cs="Times New Roman" w:eastAsia="Times New Roman" w:hAnsi="Times New Roman"/>
          <w:sz w:val="14"/>
          <w:szCs w:val="14"/>
          <w:color w:val="auto"/>
        </w:rPr>
      </w:pPr>
    </w:p>
    <w:p>
      <w:pPr>
        <w:ind w:right="20" w:firstLine="436"/>
        <w:spacing w:after="0" w:line="180" w:lineRule="exact"/>
        <w:tabs>
          <w:tab w:leader="none" w:pos="747"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arises from a sale to an Affiliate, from a sale on a cash-on-delivery, bill-and-hold, sale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return, sale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approval, consignment, or other repurchase or return basis, or from a sale for personal, family or household purposes;</w:t>
      </w:r>
    </w:p>
    <w:p>
      <w:pPr>
        <w:spacing w:after="0" w:line="10" w:lineRule="exact"/>
        <w:rPr>
          <w:rFonts w:ascii="Times New Roman" w:cs="Times New Roman" w:eastAsia="Times New Roman" w:hAnsi="Times New Roman"/>
          <w:sz w:val="14"/>
          <w:szCs w:val="14"/>
          <w:color w:val="auto"/>
        </w:rPr>
      </w:pPr>
    </w:p>
    <w:p>
      <w:pPr>
        <w:ind w:left="720" w:hanging="284"/>
        <w:spacing w:after="0"/>
        <w:tabs>
          <w:tab w:leader="none" w:pos="7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subject to a duly perfected, first priority Lien in favor of Administrative Agent;</w:t>
      </w:r>
    </w:p>
    <w:p>
      <w:pPr>
        <w:spacing w:after="0" w:line="37" w:lineRule="exact"/>
        <w:rPr>
          <w:rFonts w:ascii="Times New Roman" w:cs="Times New Roman" w:eastAsia="Times New Roman" w:hAnsi="Times New Roman"/>
          <w:sz w:val="14"/>
          <w:szCs w:val="14"/>
          <w:color w:val="auto"/>
        </w:rPr>
      </w:pPr>
    </w:p>
    <w:p>
      <w:pPr>
        <w:ind w:left="780" w:hanging="344"/>
        <w:spacing w:after="0"/>
        <w:tabs>
          <w:tab w:leader="none" w:pos="7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subject to any Lien other than (i) a Lien in favor of Administrative Agent, or (ii) a Permitted Lien which does not have priority over the Lien in favor of Administrative</w:t>
      </w:r>
    </w:p>
    <w:p>
      <w:pPr>
        <w:spacing w:after="0" w:line="1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Agent;</w:t>
      </w:r>
    </w:p>
    <w:p>
      <w:pPr>
        <w:spacing w:after="0" w:line="21" w:lineRule="exact"/>
        <w:rPr>
          <w:rFonts w:ascii="Times New Roman" w:cs="Times New Roman" w:eastAsia="Times New Roman" w:hAnsi="Times New Roman"/>
          <w:sz w:val="14"/>
          <w:szCs w:val="14"/>
          <w:color w:val="auto"/>
        </w:rPr>
      </w:pPr>
    </w:p>
    <w:p>
      <w:pPr>
        <w:ind w:firstLine="436"/>
        <w:spacing w:after="0" w:line="261" w:lineRule="auto"/>
        <w:tabs>
          <w:tab w:leader="none" w:pos="75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any representation contained herein or in the other Loan Documents with respect to such Account is not true in any material respect or (ii) any covenant contained herein or in the other Loan Documents with respect to such Account has been breached and the resultant Event of Default has not been waived;</w:t>
      </w:r>
    </w:p>
    <w:p>
      <w:pPr>
        <w:jc w:val="both"/>
        <w:ind w:firstLine="436"/>
        <w:spacing w:after="0" w:line="259" w:lineRule="auto"/>
        <w:tabs>
          <w:tab w:leader="none" w:pos="777"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owing by a creditor or supplier of any Loan Party or any Subsidiary thereof, or is otherwise subject to a potential offset, counterclaim, dispute, deduction, discount, recoupment, reserve, defense, chargeback, credit or allowance that either (i) has been asserted in writing or (ii) is otherwise known to the board of directors and/or manager or any Responsible Officer of such Loan Party or any Subsidiary;</w:t>
      </w:r>
    </w:p>
    <w:p>
      <w:pPr>
        <w:ind w:firstLine="436"/>
        <w:spacing w:after="0" w:line="268" w:lineRule="auto"/>
        <w:tabs>
          <w:tab w:leader="none" w:pos="738"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account debtor is insolvent or the subject of any bankruptcy or insolvency proceeding, or has made an assignment for the benefit of creditors, suspended normal business operations, dissolved, liquidated, terminated its existence, ceased to pay its debts as they become due, or suffered a receiver or trustee to be appointed for any of its assets or affairs;</w:t>
      </w:r>
    </w:p>
    <w:p>
      <w:pPr>
        <w:ind w:firstLine="436"/>
        <w:spacing w:after="0" w:line="268" w:lineRule="auto"/>
        <w:tabs>
          <w:tab w:leader="none" w:pos="774"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evidenced by chattel paper or an instrument (other than any chattel paper which, upon the written request of the Administrative Agent, the original copy of such chattel paper has been delivered to the Administrative Agent within five (5) days after such written request);</w:t>
      </w:r>
    </w:p>
    <w:p>
      <w:pPr>
        <w:ind w:left="720" w:hanging="284"/>
        <w:spacing w:after="0"/>
        <w:tabs>
          <w:tab w:leader="none" w:pos="7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exists under the Account, or any contract giving rise to such Account, by any party thereto;</w:t>
      </w:r>
    </w:p>
    <w:p>
      <w:pPr>
        <w:spacing w:after="0" w:line="37" w:lineRule="exact"/>
        <w:rPr>
          <w:rFonts w:ascii="Times New Roman" w:cs="Times New Roman" w:eastAsia="Times New Roman" w:hAnsi="Times New Roman"/>
          <w:sz w:val="14"/>
          <w:szCs w:val="14"/>
          <w:color w:val="auto"/>
        </w:rPr>
      </w:pPr>
    </w:p>
    <w:p>
      <w:pPr>
        <w:ind w:left="780" w:hanging="344"/>
        <w:spacing w:after="0"/>
        <w:tabs>
          <w:tab w:leader="none" w:pos="7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owed by an Affiliate, employee, officer or director of any Loan Party or any of their Subsidiaries;</w:t>
      </w:r>
    </w:p>
    <w:p>
      <w:pPr>
        <w:spacing w:after="0" w:line="28" w:lineRule="exact"/>
        <w:rPr>
          <w:rFonts w:ascii="Times New Roman" w:cs="Times New Roman" w:eastAsia="Times New Roman" w:hAnsi="Times New Roman"/>
          <w:sz w:val="14"/>
          <w:szCs w:val="14"/>
          <w:color w:val="auto"/>
        </w:rPr>
      </w:pPr>
    </w:p>
    <w:p>
      <w:pPr>
        <w:ind w:left="740" w:hanging="304"/>
        <w:spacing w:after="0"/>
        <w:tabs>
          <w:tab w:leader="none" w:pos="7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owed in currency other than Dollars by the account debtor;</w:t>
      </w:r>
    </w:p>
    <w:p>
      <w:pPr>
        <w:spacing w:after="0" w:line="200" w:lineRule="exact"/>
        <w:rPr>
          <w:sz w:val="20"/>
          <w:szCs w:val="20"/>
          <w:color w:val="auto"/>
        </w:rPr>
      </w:pPr>
    </w:p>
    <w:p>
      <w:pPr>
        <w:spacing w:after="0" w:line="21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880"/>
          </w:cols>
          <w:pgMar w:left="720" w:top="287" w:right="29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ind w:left="420" w:firstLine="436"/>
        <w:spacing w:after="0" w:line="271" w:lineRule="auto"/>
        <w:tabs>
          <w:tab w:leader="none" w:pos="1226"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account debtor is organized or has its principal offices or assets outside the United States or Canada (but excluding from Canada for purposes of this </w:t>
      </w:r>
      <w:r>
        <w:rPr>
          <w:rFonts w:ascii="Times New Roman" w:cs="Times New Roman" w:eastAsia="Times New Roman" w:hAnsi="Times New Roman"/>
          <w:sz w:val="14"/>
          <w:szCs w:val="14"/>
          <w:b w:val="1"/>
          <w:bCs w:val="1"/>
          <w:i w:val="1"/>
          <w:iCs w:val="1"/>
          <w:color w:val="auto"/>
        </w:rPr>
        <w:t>clause (o)</w:t>
      </w:r>
      <w:r>
        <w:rPr>
          <w:rFonts w:ascii="Times New Roman" w:cs="Times New Roman" w:eastAsia="Times New Roman" w:hAnsi="Times New Roman"/>
          <w:sz w:val="14"/>
          <w:szCs w:val="14"/>
          <w:color w:val="auto"/>
        </w:rPr>
        <w:t>, the Province of Quebec);</w:t>
      </w:r>
    </w:p>
    <w:p>
      <w:pPr>
        <w:ind w:left="1160" w:hanging="304"/>
        <w:spacing w:after="0"/>
        <w:tabs>
          <w:tab w:leader="none" w:pos="11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Account is owed by an individual or a Sanctioned Person;</w:t>
      </w:r>
    </w:p>
    <w:p>
      <w:pPr>
        <w:spacing w:after="0" w:line="37" w:lineRule="exact"/>
        <w:rPr>
          <w:rFonts w:ascii="Times New Roman" w:cs="Times New Roman" w:eastAsia="Times New Roman" w:hAnsi="Times New Roman"/>
          <w:sz w:val="14"/>
          <w:szCs w:val="14"/>
          <w:color w:val="auto"/>
        </w:rPr>
      </w:pPr>
    </w:p>
    <w:p>
      <w:pPr>
        <w:ind w:left="420" w:firstLine="436"/>
        <w:spacing w:after="0" w:line="268" w:lineRule="auto"/>
        <w:tabs>
          <w:tab w:leader="none" w:pos="1176"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more than twenty-five percent (25%) of the aggregate balances then outstanding on all Accounts owed by such account debtor and its Affiliates are unpaid for more than (i) sixty (60) days after the original date payment is due or (ii) ninety (90) days past the dates of their original invoices;</w:t>
      </w:r>
    </w:p>
    <w:p>
      <w:pPr>
        <w:ind w:left="420" w:right="20" w:firstLine="436"/>
        <w:spacing w:after="0" w:line="261" w:lineRule="auto"/>
        <w:tabs>
          <w:tab w:leader="none" w:pos="1157"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owing by a Governmental Authority, unless the account debtor is the United States of America or any department, agency, or instrumentality thereof and the Account has been assigned to Administrative Agent in compliance with the Federal Assignment of Claims Act of 1940;</w:t>
      </w:r>
    </w:p>
    <w:p>
      <w:pPr>
        <w:ind w:left="1160" w:hanging="304"/>
        <w:spacing w:after="0"/>
        <w:tabs>
          <w:tab w:leader="none" w:pos="11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includes a billing for interest, fees or late charges;</w:t>
      </w:r>
    </w:p>
    <w:p>
      <w:pPr>
        <w:spacing w:after="0" w:line="37" w:lineRule="exact"/>
        <w:rPr>
          <w:rFonts w:ascii="Times New Roman" w:cs="Times New Roman" w:eastAsia="Times New Roman" w:hAnsi="Times New Roman"/>
          <w:sz w:val="14"/>
          <w:szCs w:val="14"/>
          <w:color w:val="auto"/>
        </w:rPr>
      </w:pPr>
    </w:p>
    <w:p>
      <w:pPr>
        <w:jc w:val="both"/>
        <w:ind w:left="420" w:firstLine="436"/>
        <w:spacing w:after="0" w:line="250" w:lineRule="auto"/>
        <w:tabs>
          <w:tab w:leader="none" w:pos="1186"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aggregated with all other Accounts owed (i) by an Investment Grade Account Debtor and its Affiliates (in each case, other than Occidental) to which such Account relates exceeds thirty-five percent (35%) of all Eligible Accounts owed by all of the Loan Parties’ account debtors, (ii) by a Non-Investment Grade Account Debtor and its Affiliates (in each case, other than Occidental) to which such Account relates exceeds twenty-five percent (25%) of all Eligible Accounts owed by all of Loan Parties’ account debtors or (iii) by Occidental Petroleum Corporation or its Subsidiaries (collectively, “</w:t>
      </w:r>
      <w:r>
        <w:rPr>
          <w:rFonts w:ascii="Times New Roman" w:cs="Times New Roman" w:eastAsia="Times New Roman" w:hAnsi="Times New Roman"/>
          <w:sz w:val="14"/>
          <w:szCs w:val="14"/>
          <w:b w:val="1"/>
          <w:bCs w:val="1"/>
          <w:i w:val="1"/>
          <w:iCs w:val="1"/>
          <w:color w:val="auto"/>
        </w:rPr>
        <w:t>Occidental</w:t>
      </w:r>
      <w:r>
        <w:rPr>
          <w:rFonts w:ascii="Times New Roman" w:cs="Times New Roman" w:eastAsia="Times New Roman" w:hAnsi="Times New Roman"/>
          <w:sz w:val="14"/>
          <w:szCs w:val="14"/>
          <w:color w:val="auto"/>
        </w:rPr>
        <w:t>”) to which such Account relates exceeds thirty-five percent (35%) of all Eligible Accounts owed by all of Loan Parties’ account debtors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in each case under the foregoing clauses (i) through (iii), if such aggregate exceeds such percentage of all Eligible Accounts, only such excess shall be ineligible); or</w:t>
      </w:r>
    </w:p>
    <w:p>
      <w:pPr>
        <w:spacing w:after="0" w:line="169"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Agent otherwise reasonably determines it be ineligible.</w:t>
      </w:r>
    </w:p>
    <w:p>
      <w:pPr>
        <w:spacing w:after="0" w:line="37" w:lineRule="exact"/>
        <w:rPr>
          <w:sz w:val="20"/>
          <w:szCs w:val="20"/>
          <w:color w:val="auto"/>
        </w:rPr>
      </w:pPr>
    </w:p>
    <w:p>
      <w:pPr>
        <w:jc w:val="both"/>
        <w:ind w:left="420" w:firstLine="432"/>
        <w:spacing w:after="0" w:line="252" w:lineRule="auto"/>
        <w:rPr>
          <w:sz w:val="20"/>
          <w:szCs w:val="20"/>
          <w:color w:val="auto"/>
        </w:rPr>
      </w:pPr>
      <w:r>
        <w:rPr>
          <w:rFonts w:ascii="Times New Roman" w:cs="Times New Roman" w:eastAsia="Times New Roman" w:hAnsi="Times New Roman"/>
          <w:sz w:val="14"/>
          <w:szCs w:val="14"/>
          <w:color w:val="auto"/>
        </w:rPr>
        <w:t>The amount of the Eligible Accounts owed by an account debtor to any Loan Party shall be reduced by the amount of all “contra accounts” and other obligations owed, whether by such Loan Party or any other Loan Party or Subsidiary, to such account debtor. Administrative Agent shall have the right to create and adjust eligibility standards and related services from time to time in its Permitted Discretion.</w:t>
      </w:r>
    </w:p>
    <w:p>
      <w:pPr>
        <w:spacing w:after="0" w:line="2"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Eligible Assignee</w:t>
      </w:r>
      <w:r>
        <w:rPr>
          <w:rFonts w:ascii="Times New Roman" w:cs="Times New Roman" w:eastAsia="Times New Roman" w:hAnsi="Times New Roman"/>
          <w:sz w:val="14"/>
          <w:szCs w:val="14"/>
          <w:color w:val="auto"/>
        </w:rPr>
        <w:t xml:space="preserve">” means any Person that meets the requirements to be an assignee under </w:t>
      </w:r>
      <w:r>
        <w:rPr>
          <w:rFonts w:ascii="Times New Roman" w:cs="Times New Roman" w:eastAsia="Times New Roman" w:hAnsi="Times New Roman"/>
          <w:sz w:val="14"/>
          <w:szCs w:val="14"/>
          <w:b w:val="1"/>
          <w:bCs w:val="1"/>
          <w:i w:val="1"/>
          <w:iCs w:val="1"/>
          <w:color w:val="auto"/>
        </w:rPr>
        <w:t>Section 11.8(b)(iii)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(v)</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(vi)</w:t>
      </w:r>
      <w:r>
        <w:rPr>
          <w:rFonts w:ascii="Times New Roman" w:cs="Times New Roman" w:eastAsia="Times New Roman" w:hAnsi="Times New Roman"/>
          <w:sz w:val="14"/>
          <w:szCs w:val="14"/>
          <w:color w:val="auto"/>
        </w:rPr>
        <w:t xml:space="preserve"> (subject to such consents, if any, as may be required under </w:t>
      </w:r>
      <w:r>
        <w:rPr>
          <w:rFonts w:ascii="Times New Roman" w:cs="Times New Roman" w:eastAsia="Times New Roman" w:hAnsi="Times New Roman"/>
          <w:sz w:val="14"/>
          <w:szCs w:val="14"/>
          <w:b w:val="1"/>
          <w:bCs w:val="1"/>
          <w:i w:val="1"/>
          <w:iCs w:val="1"/>
          <w:color w:val="auto"/>
        </w:rPr>
        <w:t>Section 11.8(b)(iii)</w:t>
      </w:r>
      <w:r>
        <w:rPr>
          <w:rFonts w:ascii="Times New Roman" w:cs="Times New Roman" w:eastAsia="Times New Roman" w:hAnsi="Times New Roman"/>
          <w:sz w:val="14"/>
          <w:szCs w:val="14"/>
          <w:color w:val="auto"/>
        </w:rPr>
        <w:t>).</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Eligible Compressors</w:t>
      </w:r>
      <w:r>
        <w:rPr>
          <w:rFonts w:ascii="Times New Roman" w:cs="Times New Roman" w:eastAsia="Times New Roman" w:hAnsi="Times New Roman"/>
          <w:sz w:val="14"/>
          <w:szCs w:val="14"/>
          <w:color w:val="auto"/>
        </w:rPr>
        <w:t>” means the Eligible Inventory owned by any Loan Party consisting of Compressor Units.</w:t>
      </w:r>
    </w:p>
    <w:p>
      <w:pPr>
        <w:spacing w:after="0" w:line="37" w:lineRule="exact"/>
        <w:rPr>
          <w:sz w:val="20"/>
          <w:szCs w:val="20"/>
          <w:color w:val="auto"/>
        </w:rPr>
      </w:pPr>
    </w:p>
    <w:p>
      <w:pPr>
        <w:ind w:firstLine="432"/>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Eligible Inventory</w:t>
      </w:r>
      <w:r>
        <w:rPr>
          <w:rFonts w:ascii="Times New Roman" w:cs="Times New Roman" w:eastAsia="Times New Roman" w:hAnsi="Times New Roman"/>
          <w:sz w:val="14"/>
          <w:szCs w:val="14"/>
          <w:color w:val="auto"/>
        </w:rPr>
        <w:t>” means, as of any applicable period of determination thereof, all Inventory of the Loan Parties that Administrative Agent determines in its Permitted Discretion is eligible as the basis for the extension of Credit Extensions. Without limiting the foregoing, Eligible Inventory shall not include any Inventory:</w:t>
      </w:r>
    </w:p>
    <w:p>
      <w:pPr>
        <w:ind w:left="1160" w:hanging="304"/>
        <w:spacing w:after="0"/>
        <w:tabs>
          <w:tab w:leader="none" w:pos="11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is not subject to a first priority perfected Lien in favor of Administrative Agent;</w:t>
      </w:r>
    </w:p>
    <w:p>
      <w:pPr>
        <w:spacing w:after="0" w:line="37" w:lineRule="exact"/>
        <w:rPr>
          <w:rFonts w:ascii="Times New Roman" w:cs="Times New Roman" w:eastAsia="Times New Roman" w:hAnsi="Times New Roman"/>
          <w:sz w:val="14"/>
          <w:szCs w:val="14"/>
          <w:color w:val="auto"/>
        </w:rPr>
      </w:pPr>
    </w:p>
    <w:p>
      <w:pPr>
        <w:ind w:left="420" w:firstLine="436"/>
        <w:spacing w:after="0" w:line="268" w:lineRule="auto"/>
        <w:tabs>
          <w:tab w:leader="none" w:pos="1266"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is subject to any Lien other than (i) a Lien in favor of Administrative Agent or (ii) a Permitted Lien which does not have priority over the Lien in favor of Administrative Agent;</w:t>
      </w:r>
    </w:p>
    <w:p>
      <w:pPr>
        <w:ind w:left="420" w:firstLine="436"/>
        <w:spacing w:after="0" w:line="261" w:lineRule="auto"/>
        <w:tabs>
          <w:tab w:leader="none" w:pos="1206"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is, in Administrative Agent’s opinion based on its Permitted Discretion, slow moving, obsolete, unmerchantable, defective, used, unfit for sale, not salable at prices approximating at least the cost of such Inventory in the ordinary course of business or unacceptable due to age, type, category and/or quantity;</w:t>
      </w:r>
    </w:p>
    <w:p>
      <w:pPr>
        <w:ind w:left="1200" w:hanging="344"/>
        <w:spacing w:after="0"/>
        <w:tabs>
          <w:tab w:leader="none" w:pos="12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which (i) any representation contained herein or in the other Loan Documents is not true in any material respect, (ii) any covenant contained herein or in the</w:t>
      </w:r>
    </w:p>
    <w:p>
      <w:pPr>
        <w:spacing w:after="0" w:line="17"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300"/>
          </w:cols>
          <w:pgMar w:left="300" w:top="287" w:right="29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Loan Documents has been breached and the resultant Event of Default has not been waived or which does not conform in all material respects to all standards imposed by any Governmental Authority;</w:t>
      </w:r>
    </w:p>
    <w:p>
      <w:pPr>
        <w:ind w:right="20" w:firstLine="436"/>
        <w:spacing w:after="0" w:line="268" w:lineRule="auto"/>
        <w:tabs>
          <w:tab w:leader="none" w:pos="76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which any Person other than the applicable Loan Party shall (i) have any direct or indirect ownership, interest or title or (ii) be indicated on any purchase order or invoice with respect to such Inventory as having or purporting to have an interest therein;</w:t>
      </w:r>
    </w:p>
    <w:p>
      <w:pPr>
        <w:jc w:val="both"/>
        <w:ind w:firstLine="436"/>
        <w:spacing w:after="0" w:line="250" w:lineRule="auto"/>
        <w:tabs>
          <w:tab w:leader="none" w:pos="78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(i) constitutes work in process or raw materials; provided that Compressor Components are not raw materials, or (ii) constitutes packaging and shipping material, manufacturing supplies, samples, prototypes, displays or display items, bill and hold or ship in place goods, goods that are returned or marked for return, repossessed goods, defective or damaged goods, goods held on consignment, or goods which are not of a type (x) held for sale, lease or rental or (y) to be used to provide compression services, in each case in the ordinary course of business;</w:t>
      </w:r>
    </w:p>
    <w:p>
      <w:pPr>
        <w:spacing w:after="0" w:line="4" w:lineRule="exact"/>
        <w:rPr>
          <w:rFonts w:ascii="Times New Roman" w:cs="Times New Roman" w:eastAsia="Times New Roman" w:hAnsi="Times New Roman"/>
          <w:sz w:val="14"/>
          <w:szCs w:val="14"/>
          <w:color w:val="auto"/>
        </w:rPr>
      </w:pPr>
    </w:p>
    <w:p>
      <w:pPr>
        <w:ind w:left="740" w:hanging="304"/>
        <w:spacing w:after="0"/>
        <w:tabs>
          <w:tab w:leader="none" w:pos="7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is not located in the United States or is in transit with a common carrier from vendors and suppliers;</w:t>
      </w:r>
    </w:p>
    <w:p>
      <w:pPr>
        <w:spacing w:after="0" w:line="37" w:lineRule="exact"/>
        <w:rPr>
          <w:rFonts w:ascii="Times New Roman" w:cs="Times New Roman" w:eastAsia="Times New Roman" w:hAnsi="Times New Roman"/>
          <w:sz w:val="14"/>
          <w:szCs w:val="14"/>
          <w:color w:val="auto"/>
        </w:rPr>
      </w:pPr>
    </w:p>
    <w:p>
      <w:pPr>
        <w:ind w:firstLine="436"/>
        <w:spacing w:after="0" w:line="268" w:lineRule="auto"/>
        <w:tabs>
          <w:tab w:leader="none" w:pos="758"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is located in any location leased by any Loan Party unless (i) the lessor has delivered to Administrative Agent a Collateral Access Agreement or (ii) a Rent Reserve for rent, charges and other amounts due or to become due with respect to such facility has been established by Administrative Agent in its Permitted Discretion;</w:t>
      </w:r>
    </w:p>
    <w:p>
      <w:pPr>
        <w:jc w:val="both"/>
        <w:ind w:firstLine="436"/>
        <w:spacing w:after="0" w:line="259" w:lineRule="auto"/>
        <w:tabs>
          <w:tab w:leader="none" w:pos="77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is located in any third party warehouse or is in the possession of a bailee (other than a third party processor) and is not evidenced by a Document, unless (i) such warehouseman or bailee has delivered to Administrative Agent a Collateral Access Agreement and such other documentation as Administrative Agent may reasonably require or (ii) an appropriate Rent Reserve for rent, charges and other amounts due or to become due with respect to such location has been established by Administrative Agent in its Permitted Discretion;</w:t>
      </w:r>
    </w:p>
    <w:p>
      <w:pPr>
        <w:jc w:val="both"/>
        <w:ind w:firstLine="436"/>
        <w:spacing w:after="0" w:line="254" w:lineRule="auto"/>
        <w:tabs>
          <w:tab w:leader="none" w:pos="728"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is being processed offsite at a third party location or outside processor, or is in transit to or from such third party location or outside processor, unless (i) such processor or other third party has delivered to Administrative Agent a Collateral Access Agreement and such other documentation as Administrative Agent may reasonably require or (ii) an appropriate Rent Reserve has been established by Administrative Agent in its Permitted Discretion;</w:t>
      </w:r>
    </w:p>
    <w:p>
      <w:pPr>
        <w:spacing w:after="0" w:line="1" w:lineRule="exact"/>
        <w:rPr>
          <w:rFonts w:ascii="Times New Roman" w:cs="Times New Roman" w:eastAsia="Times New Roman" w:hAnsi="Times New Roman"/>
          <w:sz w:val="14"/>
          <w:szCs w:val="14"/>
          <w:color w:val="auto"/>
        </w:rPr>
      </w:pPr>
    </w:p>
    <w:p>
      <w:pPr>
        <w:jc w:val="both"/>
        <w:ind w:right="20" w:firstLine="436"/>
        <w:spacing w:after="0" w:line="259" w:lineRule="auto"/>
        <w:tabs>
          <w:tab w:leader="none" w:pos="808"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is located at any customer site or location or is in the possession of a customer of any Loan Party, unless such customer has delivered to Administrative Agent a Collateral Access Agreement or such other documentation as Administrative Agent may reasonably require, including, without limitation, a gas compression agreement with terms acceptable to Administrative Agent;</w:t>
      </w:r>
    </w:p>
    <w:p>
      <w:pPr>
        <w:ind w:left="720" w:hanging="284"/>
        <w:spacing w:after="0"/>
        <w:tabs>
          <w:tab w:leader="none" w:pos="7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is a discontinued product or component thereof;</w:t>
      </w:r>
    </w:p>
    <w:p>
      <w:pPr>
        <w:spacing w:after="0" w:line="37" w:lineRule="exact"/>
        <w:rPr>
          <w:rFonts w:ascii="Times New Roman" w:cs="Times New Roman" w:eastAsia="Times New Roman" w:hAnsi="Times New Roman"/>
          <w:sz w:val="14"/>
          <w:szCs w:val="14"/>
          <w:color w:val="auto"/>
        </w:rPr>
      </w:pPr>
    </w:p>
    <w:p>
      <w:pPr>
        <w:ind w:left="780" w:hanging="344"/>
        <w:spacing w:after="0"/>
        <w:tabs>
          <w:tab w:leader="none" w:pos="7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is the subject of a consignment by the applicable Loan Party or any Subsidiary hereof as consignor;</w:t>
      </w:r>
    </w:p>
    <w:p>
      <w:pPr>
        <w:spacing w:after="0" w:line="37" w:lineRule="exact"/>
        <w:rPr>
          <w:rFonts w:ascii="Times New Roman" w:cs="Times New Roman" w:eastAsia="Times New Roman" w:hAnsi="Times New Roman"/>
          <w:sz w:val="14"/>
          <w:szCs w:val="14"/>
          <w:color w:val="auto"/>
        </w:rPr>
      </w:pPr>
    </w:p>
    <w:p>
      <w:pPr>
        <w:ind w:left="740" w:hanging="304"/>
        <w:spacing w:after="0"/>
        <w:tabs>
          <w:tab w:leader="none" w:pos="7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is perishable;</w:t>
      </w:r>
    </w:p>
    <w:p>
      <w:pPr>
        <w:spacing w:after="0" w:line="37" w:lineRule="exact"/>
        <w:rPr>
          <w:rFonts w:ascii="Times New Roman" w:cs="Times New Roman" w:eastAsia="Times New Roman" w:hAnsi="Times New Roman"/>
          <w:sz w:val="14"/>
          <w:szCs w:val="14"/>
          <w:color w:val="auto"/>
        </w:rPr>
      </w:pPr>
    </w:p>
    <w:p>
      <w:pPr>
        <w:jc w:val="both"/>
        <w:ind w:firstLine="436"/>
        <w:spacing w:after="0" w:line="259" w:lineRule="auto"/>
        <w:tabs>
          <w:tab w:leader="none" w:pos="76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contains or bears any intellectual property rights licensed to any applicable Loan Party unless Administrative Agent is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w:t>
      </w:r>
    </w:p>
    <w:p>
      <w:pPr>
        <w:ind w:left="760" w:hanging="324"/>
        <w:spacing w:after="0"/>
        <w:tabs>
          <w:tab w:leader="none" w:pos="7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is not reflected in a current perpetual inventory report of the applicable Loan Party (unless such Inventory is reflected in a report to Administrative Agent as “in transit”</w:t>
      </w:r>
    </w:p>
    <w:p>
      <w:pPr>
        <w:spacing w:after="0" w:line="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Inventory);</w:t>
      </w:r>
    </w:p>
    <w:p>
      <w:pPr>
        <w:spacing w:after="0" w:line="21" w:lineRule="exact"/>
        <w:rPr>
          <w:rFonts w:ascii="Times New Roman" w:cs="Times New Roman" w:eastAsia="Times New Roman" w:hAnsi="Times New Roman"/>
          <w:sz w:val="14"/>
          <w:szCs w:val="14"/>
          <w:color w:val="auto"/>
        </w:rPr>
      </w:pPr>
    </w:p>
    <w:p>
      <w:pPr>
        <w:ind w:left="740" w:hanging="304"/>
        <w:spacing w:after="0"/>
        <w:tabs>
          <w:tab w:leader="none" w:pos="7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which reclamation rights have been asserted by the seller;</w:t>
      </w:r>
    </w:p>
    <w:p>
      <w:pPr>
        <w:spacing w:after="0" w:line="37" w:lineRule="exact"/>
        <w:rPr>
          <w:rFonts w:ascii="Times New Roman" w:cs="Times New Roman" w:eastAsia="Times New Roman" w:hAnsi="Times New Roman"/>
          <w:sz w:val="14"/>
          <w:szCs w:val="14"/>
          <w:color w:val="auto"/>
        </w:rPr>
      </w:pPr>
    </w:p>
    <w:p>
      <w:pPr>
        <w:ind w:left="720" w:hanging="284"/>
        <w:spacing w:after="0"/>
        <w:tabs>
          <w:tab w:leader="none" w:pos="7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has been acquired from a Sanctioned Person; or</w:t>
      </w:r>
    </w:p>
    <w:p>
      <w:pPr>
        <w:spacing w:after="0" w:line="200" w:lineRule="exact"/>
        <w:rPr>
          <w:sz w:val="20"/>
          <w:szCs w:val="20"/>
          <w:color w:val="auto"/>
        </w:rPr>
      </w:pPr>
    </w:p>
    <w:p>
      <w:pPr>
        <w:spacing w:after="0" w:line="21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880"/>
          </w:cols>
          <w:pgMar w:left="720" w:top="287" w:right="29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ind w:left="860"/>
        <w:spacing w:after="0"/>
        <w:tabs>
          <w:tab w:leader="none" w:pos="1120" w:val="left"/>
        </w:tabs>
        <w:rPr>
          <w:sz w:val="20"/>
          <w:szCs w:val="20"/>
          <w:color w:val="auto"/>
        </w:rPr>
      </w:pPr>
      <w:r>
        <w:rPr>
          <w:rFonts w:ascii="Times New Roman" w:cs="Times New Roman" w:eastAsia="Times New Roman" w:hAnsi="Times New Roman"/>
          <w:sz w:val="14"/>
          <w:szCs w:val="14"/>
          <w:color w:val="auto"/>
        </w:rPr>
        <w:t>(s)</w:t>
        <w:tab/>
        <w:t>Administrative Agent otherwise reasonably determines it be ineligible.</w:t>
      </w:r>
    </w:p>
    <w:p>
      <w:pPr>
        <w:spacing w:after="0" w:line="3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In the event that Inventory which was previously Eligible Inventory ceases to be Eligible Inventory hereunder, the Borrowers shall notify Administrative Agent thereof on and at the time of submission to Administrative Agent of the next Borrowing Base Report.</w:t>
      </w: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Eligible New Compressor Fleet</w:t>
      </w:r>
      <w:r>
        <w:rPr>
          <w:rFonts w:ascii="Times New Roman" w:cs="Times New Roman" w:eastAsia="Times New Roman" w:hAnsi="Times New Roman"/>
          <w:sz w:val="14"/>
          <w:szCs w:val="14"/>
          <w:color w:val="auto"/>
        </w:rPr>
        <w:t xml:space="preserve">” means Eligible Compressors, whether held or deployed by any Loan Party in the ordinary course of business, and which are not included in the most recent appraisal, which is prepared on a basis satisfactory to Administrative Agent, and ordered and received by Administrative Agent pursuant to </w:t>
      </w:r>
      <w:r>
        <w:rPr>
          <w:rFonts w:ascii="Times New Roman" w:cs="Times New Roman" w:eastAsia="Times New Roman" w:hAnsi="Times New Roman"/>
          <w:sz w:val="14"/>
          <w:szCs w:val="14"/>
          <w:b w:val="1"/>
          <w:bCs w:val="1"/>
          <w:i w:val="1"/>
          <w:iCs w:val="1"/>
          <w:color w:val="auto"/>
        </w:rPr>
        <w:t>Section 6.6(c)</w:t>
      </w:r>
      <w:r>
        <w:rPr>
          <w:rFonts w:ascii="Times New Roman" w:cs="Times New Roman" w:eastAsia="Times New Roman" w:hAnsi="Times New Roman"/>
          <w:sz w:val="14"/>
          <w:szCs w:val="14"/>
          <w:color w:val="auto"/>
        </w:rPr>
        <w:t>.</w:t>
      </w:r>
    </w:p>
    <w:p>
      <w:pPr>
        <w:jc w:val="both"/>
        <w:ind w:firstLine="432"/>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Environmental Laws</w:t>
      </w:r>
      <w:r>
        <w:rPr>
          <w:rFonts w:ascii="Times New Roman" w:cs="Times New Roman" w:eastAsia="Times New Roman" w:hAnsi="Times New Roman"/>
          <w:sz w:val="14"/>
          <w:szCs w:val="14"/>
          <w:color w:val="auto"/>
        </w:rPr>
        <w:t>” means any and all federal, state, and local Laws, regulations, judicial decisions, orders, decrees, plans, rules, permits, licenses, and other governmental restrictions and requirements pertaining to health, safety, or the environment, including, without limitation, the Comprehensive Environmental Response, Compensation and Liability Act as amended by the Superfund Amendments and Reauthorization Act of 1986, 42 U.S.C. §9601 et seq., the Resource Conservation and Recovery Act, 42 U.S.C. §6901 et seq., the Federal Water Pollution Control Act, as amended by the Clean Water Act, 33 U.S.C. §1251 et seq., the Clean Air Act, 42 U.S.C. §7401 et seq., the Emergency Planning and Community Right-to-Know Act, 42 U.S.C. §11001 et seq., the Hazardous Materials Transportation Act, 49 U.S.C. §5101 et seq., the Toxic Substances Control Act, 15 U.S.C. §2601 et seq., the Oil Pollution Act of 1990, 33 U.S.C. §2701 et seq., the Safe Drinking Water Act, 42 U.S.C. §300f et seq., the Occupational Safety and Health Act, 29 U.S.C. §651 et seq., the Federal Insecticide, Fungicide, and Rodenticide Act, 7 U.S.C. §136 et seq., the Endangered Species Act, U.S.C. §1531 et seq., the National Environmental Policy Act, 42 U.S.C. §4321 et seq., the Rivers and Harbors Appropriation Act of 1899, 33 U.S.C. §407, all similar state statutes and local ordinances, and all regulations promulgated under any of those statutes, and all administrative and judicial actions respecting such legislation, all as amended from time to time.</w:t>
      </w:r>
    </w:p>
    <w:p>
      <w:pPr>
        <w:spacing w:after="0" w:line="170"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Environmental Liabilities</w:t>
      </w:r>
      <w:r>
        <w:rPr>
          <w:rFonts w:ascii="Times New Roman" w:cs="Times New Roman" w:eastAsia="Times New Roman" w:hAnsi="Times New Roman"/>
          <w:sz w:val="14"/>
          <w:szCs w:val="14"/>
          <w:color w:val="auto"/>
        </w:rPr>
        <w:t>” means, as to any Person, all liabilities, obligations, responsibilities, Remedial Actions, losses, damages, punitive damages, consequential damages, treble damages, costs, and expenses (including, without limitation, all reasonable fees, disbursements and expenses of counsel, expert and consulting fees and costs of investigation and feasibility studies), fines, penalties, sanctions, and interest incurred as a result of any claim or demand, by any Person, whether based in contract, tort, implied or express warranty, strict liability, criminal or civil statute, including any Environmental Law, permit, order or agreement with any Governmental Authority or other Person, arising from environmental, health or safety conditions or the Release or threatened Release of a Hazardous Material into the environment, resulting from the past, present, or future operations of such Person or its Affiliates.</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Equipment</w:t>
      </w:r>
      <w:r>
        <w:rPr>
          <w:rFonts w:ascii="Times New Roman" w:cs="Times New Roman" w:eastAsia="Times New Roman" w:hAnsi="Times New Roman"/>
          <w:sz w:val="14"/>
          <w:szCs w:val="14"/>
          <w:color w:val="auto"/>
        </w:rPr>
        <w:t>” has the meaning assigned to such term in the Security Agreement.</w:t>
      </w:r>
    </w:p>
    <w:p>
      <w:pPr>
        <w:spacing w:after="0" w:line="37"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Equity Interests</w:t>
      </w:r>
      <w:r>
        <w:rPr>
          <w:rFonts w:ascii="Times New Roman" w:cs="Times New Roman" w:eastAsia="Times New Roman" w:hAnsi="Times New Roman"/>
          <w:sz w:val="14"/>
          <w:szCs w:val="14"/>
          <w:color w:val="auto"/>
        </w:rPr>
        <w:t>” means, as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ERISA</w:t>
      </w:r>
      <w:r>
        <w:rPr>
          <w:rFonts w:ascii="Times New Roman" w:cs="Times New Roman" w:eastAsia="Times New Roman" w:hAnsi="Times New Roman"/>
          <w:sz w:val="14"/>
          <w:szCs w:val="14"/>
          <w:color w:val="auto"/>
        </w:rPr>
        <w:t>” means the Employee Retirement Income Security Act of 1974, as amended from time to time, together with the regulations promulgated thereunder.</w:t>
      </w:r>
    </w:p>
    <w:p>
      <w:pPr>
        <w:spacing w:after="0" w:line="37"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ERISA Affiliate</w:t>
      </w:r>
      <w:r>
        <w:rPr>
          <w:rFonts w:ascii="Times New Roman" w:cs="Times New Roman" w:eastAsia="Times New Roman" w:hAnsi="Times New Roman"/>
          <w:sz w:val="14"/>
          <w:szCs w:val="14"/>
          <w:color w:val="auto"/>
        </w:rPr>
        <w:t>” means any corporation or trade or business which is a member of the same controlled group of corporations (within the meaning of Section 414(b) of the Code) as a Loan Party, is under common control (within the meaning of Section 414(c) of the Code) with a Loan Party, or is otherwise considered a single employer with a Loan Party pursuant to Sections 414(m) or (o) of the Code, for purposes of the provisions relating to Section 412 of the Code or Section 303 of ERISA.</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300"/>
          </w:cols>
          <w:pgMar w:left="300" w:top="287" w:right="29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ERISA Event</w:t>
      </w:r>
      <w:r>
        <w:rPr>
          <w:rFonts w:ascii="Times New Roman" w:cs="Times New Roman" w:eastAsia="Times New Roman" w:hAnsi="Times New Roman"/>
          <w:sz w:val="14"/>
          <w:szCs w:val="14"/>
          <w:color w:val="auto"/>
        </w:rPr>
        <w:t xml:space="preserve">” means (a) a Reportable Event with respect to a Plan, (b) a withdrawal by any Loan Party or any ERISA Affiliate from a Plan subject to </w:t>
      </w:r>
      <w:r>
        <w:rPr>
          <w:rFonts w:ascii="Times New Roman" w:cs="Times New Roman" w:eastAsia="Times New Roman" w:hAnsi="Times New Roman"/>
          <w:sz w:val="14"/>
          <w:szCs w:val="14"/>
          <w:i w:val="1"/>
          <w:iCs w:val="1"/>
          <w:color w:val="auto"/>
        </w:rPr>
        <w:t>Section 4063</w:t>
      </w:r>
      <w:r>
        <w:rPr>
          <w:rFonts w:ascii="Times New Roman" w:cs="Times New Roman" w:eastAsia="Times New Roman" w:hAnsi="Times New Roman"/>
          <w:sz w:val="14"/>
          <w:szCs w:val="14"/>
          <w:color w:val="auto"/>
        </w:rPr>
        <w:t xml:space="preserve"> of ERISA during a plan year in which it was a substantial employer (as defined in </w:t>
      </w:r>
      <w:r>
        <w:rPr>
          <w:rFonts w:ascii="Times New Roman" w:cs="Times New Roman" w:eastAsia="Times New Roman" w:hAnsi="Times New Roman"/>
          <w:sz w:val="14"/>
          <w:szCs w:val="14"/>
          <w:i w:val="1"/>
          <w:iCs w:val="1"/>
          <w:color w:val="auto"/>
        </w:rPr>
        <w:t>Section 4001(a)(2)</w:t>
      </w:r>
      <w:r>
        <w:rPr>
          <w:rFonts w:ascii="Times New Roman" w:cs="Times New Roman" w:eastAsia="Times New Roman" w:hAnsi="Times New Roman"/>
          <w:sz w:val="14"/>
          <w:szCs w:val="14"/>
          <w:color w:val="auto"/>
        </w:rPr>
        <w:t xml:space="preserve"> of ERISA) or a cessation of operations which is treated as such a withdrawal under </w:t>
      </w:r>
      <w:r>
        <w:rPr>
          <w:rFonts w:ascii="Times New Roman" w:cs="Times New Roman" w:eastAsia="Times New Roman" w:hAnsi="Times New Roman"/>
          <w:sz w:val="14"/>
          <w:szCs w:val="14"/>
          <w:i w:val="1"/>
          <w:iCs w:val="1"/>
          <w:color w:val="auto"/>
        </w:rPr>
        <w:t>Section 4062(e)</w:t>
      </w:r>
      <w:r>
        <w:rPr>
          <w:rFonts w:ascii="Times New Roman" w:cs="Times New Roman" w:eastAsia="Times New Roman" w:hAnsi="Times New Roman"/>
          <w:sz w:val="14"/>
          <w:szCs w:val="14"/>
          <w:color w:val="auto"/>
        </w:rPr>
        <w:t xml:space="preserve"> of ERISA,</w:t>
      </w:r>
    </w:p>
    <w:p>
      <w:pPr>
        <w:spacing w:after="0" w:line="1" w:lineRule="exact"/>
        <w:rPr>
          <w:sz w:val="20"/>
          <w:szCs w:val="20"/>
          <w:color w:val="auto"/>
        </w:rPr>
      </w:pPr>
    </w:p>
    <w:p>
      <w:pPr>
        <w:jc w:val="both"/>
        <w:ind w:left="8" w:hanging="8"/>
        <w:spacing w:after="0" w:line="242" w:lineRule="auto"/>
        <w:tabs>
          <w:tab w:leader="none" w:pos="21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complete or partial withdrawal by any Loan Party or any ERISA Affiliate from a Multiemployer Plan, (d) the filing of a notice of intent to terminate a Plan, the treatment of a Plan or Multiemployer Plan amendment as a termination under </w:t>
      </w:r>
      <w:r>
        <w:rPr>
          <w:rFonts w:ascii="Times New Roman" w:cs="Times New Roman" w:eastAsia="Times New Roman" w:hAnsi="Times New Roman"/>
          <w:sz w:val="14"/>
          <w:szCs w:val="14"/>
          <w:i w:val="1"/>
          <w:iCs w:val="1"/>
          <w:color w:val="auto"/>
        </w:rPr>
        <w:t>Section 4041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4041A</w:t>
      </w:r>
      <w:r>
        <w:rPr>
          <w:rFonts w:ascii="Times New Roman" w:cs="Times New Roman" w:eastAsia="Times New Roman" w:hAnsi="Times New Roman"/>
          <w:sz w:val="14"/>
          <w:szCs w:val="14"/>
          <w:color w:val="auto"/>
        </w:rPr>
        <w:t xml:space="preserve"> of ERISA, or the commencement of proceedings by the PBGC to terminate a Plan or Multiemployer Plan, (e) the occurrence of an event or condition which might reasonably be expected to constitute grounds under </w:t>
      </w:r>
      <w:r>
        <w:rPr>
          <w:rFonts w:ascii="Times New Roman" w:cs="Times New Roman" w:eastAsia="Times New Roman" w:hAnsi="Times New Roman"/>
          <w:sz w:val="14"/>
          <w:szCs w:val="14"/>
          <w:i w:val="1"/>
          <w:iCs w:val="1"/>
          <w:color w:val="auto"/>
        </w:rPr>
        <w:t>Section 4042</w:t>
      </w:r>
      <w:r>
        <w:rPr>
          <w:rFonts w:ascii="Times New Roman" w:cs="Times New Roman" w:eastAsia="Times New Roman" w:hAnsi="Times New Roman"/>
          <w:sz w:val="14"/>
          <w:szCs w:val="14"/>
          <w:color w:val="auto"/>
        </w:rPr>
        <w:t xml:space="preserve"> of ERISA for the termination of, or the appointment of a trustee to administer, any Plan or Multiemployer Plan, (f) the imposition of any liability to the PBGC under Title IV of ERISA, other than for PBGC premiums due but not delinquent under </w:t>
      </w:r>
      <w:r>
        <w:rPr>
          <w:rFonts w:ascii="Times New Roman" w:cs="Times New Roman" w:eastAsia="Times New Roman" w:hAnsi="Times New Roman"/>
          <w:sz w:val="14"/>
          <w:szCs w:val="14"/>
          <w:i w:val="1"/>
          <w:iCs w:val="1"/>
          <w:color w:val="auto"/>
        </w:rPr>
        <w:t>Section 4007</w:t>
      </w:r>
      <w:r>
        <w:rPr>
          <w:rFonts w:ascii="Times New Roman" w:cs="Times New Roman" w:eastAsia="Times New Roman" w:hAnsi="Times New Roman"/>
          <w:sz w:val="14"/>
          <w:szCs w:val="14"/>
          <w:color w:val="auto"/>
        </w:rPr>
        <w:t xml:space="preserve"> of ERISA, upon any Loan Party or any ERISA Affiliate, (g) the failure of any Loan Party or ERISA Affiliate to meet any funding obligations with respect to any Plan or Multiemployer Plan, or (h) a Plan becomes subject to the at-risk requirements in </w:t>
      </w:r>
      <w:r>
        <w:rPr>
          <w:rFonts w:ascii="Times New Roman" w:cs="Times New Roman" w:eastAsia="Times New Roman" w:hAnsi="Times New Roman"/>
          <w:sz w:val="14"/>
          <w:szCs w:val="14"/>
          <w:i w:val="1"/>
          <w:iCs w:val="1"/>
          <w:color w:val="auto"/>
        </w:rPr>
        <w:t>Section 303</w:t>
      </w:r>
      <w:r>
        <w:rPr>
          <w:rFonts w:ascii="Times New Roman" w:cs="Times New Roman" w:eastAsia="Times New Roman" w:hAnsi="Times New Roman"/>
          <w:sz w:val="14"/>
          <w:szCs w:val="14"/>
          <w:color w:val="auto"/>
        </w:rPr>
        <w:t xml:space="preserve"> of ERISA or Section 430 of the Code or is in endangered or critical status under </w:t>
      </w:r>
      <w:r>
        <w:rPr>
          <w:rFonts w:ascii="Times New Roman" w:cs="Times New Roman" w:eastAsia="Times New Roman" w:hAnsi="Times New Roman"/>
          <w:sz w:val="14"/>
          <w:szCs w:val="14"/>
          <w:i w:val="1"/>
          <w:iCs w:val="1"/>
          <w:color w:val="auto"/>
        </w:rPr>
        <w:t>Section 305</w:t>
      </w:r>
      <w:r>
        <w:rPr>
          <w:rFonts w:ascii="Times New Roman" w:cs="Times New Roman" w:eastAsia="Times New Roman" w:hAnsi="Times New Roman"/>
          <w:sz w:val="14"/>
          <w:szCs w:val="14"/>
          <w:color w:val="auto"/>
        </w:rPr>
        <w:t xml:space="preserve"> of ERISA or Section 432 of the Code.</w:t>
      </w:r>
    </w:p>
    <w:p>
      <w:pPr>
        <w:spacing w:after="0" w:line="5"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Erroneous Payment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10.12(a)</w:t>
      </w:r>
      <w:r>
        <w:rPr>
          <w:rFonts w:ascii="Times New Roman" w:cs="Times New Roman" w:eastAsia="Times New Roman" w:hAnsi="Times New Roman"/>
          <w:sz w:val="14"/>
          <w:szCs w:val="14"/>
          <w:color w:val="auto"/>
        </w:rPr>
        <w:t>.</w:t>
      </w:r>
    </w:p>
    <w:p>
      <w:pPr>
        <w:spacing w:after="0" w:line="37"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EU Bail-In Legislation Schedule</w:t>
      </w:r>
      <w:r>
        <w:rPr>
          <w:rFonts w:ascii="Times New Roman" w:cs="Times New Roman" w:eastAsia="Times New Roman" w:hAnsi="Times New Roman"/>
          <w:sz w:val="14"/>
          <w:szCs w:val="14"/>
          <w:color w:val="auto"/>
        </w:rPr>
        <w:t>” means the EU Bail-In Legislation Schedule published by the Loan Market Association (or any successor Person), as in effect from time to time.</w:t>
      </w:r>
    </w:p>
    <w:p>
      <w:pPr>
        <w:spacing w:after="0" w:line="3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Event of Default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9.1</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means the Securities Exchange Act of 1934, as amended, and the rules and regulations promulgated thereunder.</w:t>
      </w:r>
    </w:p>
    <w:p>
      <w:pPr>
        <w:spacing w:after="0" w:line="37"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Excluded Accounts</w:t>
      </w:r>
      <w:r>
        <w:rPr>
          <w:rFonts w:ascii="Times New Roman" w:cs="Times New Roman" w:eastAsia="Times New Roman" w:hAnsi="Times New Roman"/>
          <w:sz w:val="14"/>
          <w:szCs w:val="14"/>
          <w:color w:val="auto"/>
        </w:rPr>
        <w:t>” means any commodity account, deposit account or securities account (a) established solely as a payroll account and other zero-balance disbursement account, (b) held in a fiduciary capacity and established in connection with employee benefit plans in the ordinary course of business or pursuant to applicable legal requirements, or (c) with a balance in each such account individually not exceeding $100,000 at any time and the aggregate balance of all such accounts not exceeding $250,000.</w:t>
      </w:r>
    </w:p>
    <w:p>
      <w:pPr>
        <w:spacing w:after="0" w:line="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Excluded Assets</w:t>
      </w:r>
      <w:r>
        <w:rPr>
          <w:rFonts w:ascii="Times New Roman" w:cs="Times New Roman" w:eastAsia="Times New Roman" w:hAnsi="Times New Roman"/>
          <w:sz w:val="14"/>
          <w:szCs w:val="14"/>
          <w:color w:val="auto"/>
        </w:rPr>
        <w:t>” means, collectively:</w:t>
      </w:r>
    </w:p>
    <w:p>
      <w:pPr>
        <w:spacing w:after="0" w:line="37" w:lineRule="exact"/>
        <w:rPr>
          <w:sz w:val="20"/>
          <w:szCs w:val="20"/>
          <w:color w:val="auto"/>
        </w:rPr>
      </w:pPr>
    </w:p>
    <w:p>
      <w:pPr>
        <w:ind w:left="1168" w:hanging="304"/>
        <w:spacing w:after="0"/>
        <w:tabs>
          <w:tab w:leader="none" w:pos="1168"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Equity Interests consisting of the voting stock in any CFC or U.S. Foreign HoldCo not required to be pledged pursuant to the proviso set forth in </w:t>
      </w:r>
      <w:r>
        <w:rPr>
          <w:rFonts w:ascii="Times New Roman" w:cs="Times New Roman" w:eastAsia="Times New Roman" w:hAnsi="Times New Roman"/>
          <w:sz w:val="14"/>
          <w:szCs w:val="14"/>
          <w:b w:val="1"/>
          <w:bCs w:val="1"/>
          <w:i w:val="1"/>
          <w:iCs w:val="1"/>
          <w:color w:val="auto"/>
        </w:rPr>
        <w:t>Section 6.13(b)</w:t>
      </w:r>
      <w:r>
        <w:rPr>
          <w:rFonts w:ascii="Times New Roman" w:cs="Times New Roman" w:eastAsia="Times New Roman" w:hAnsi="Times New Roman"/>
          <w:sz w:val="14"/>
          <w:szCs w:val="14"/>
          <w:color w:val="auto"/>
        </w:rPr>
        <w:t>;</w:t>
      </w:r>
    </w:p>
    <w:p>
      <w:pPr>
        <w:spacing w:after="0" w:line="32" w:lineRule="exact"/>
        <w:rPr>
          <w:rFonts w:ascii="Times New Roman" w:cs="Times New Roman" w:eastAsia="Times New Roman" w:hAnsi="Times New Roman"/>
          <w:sz w:val="14"/>
          <w:szCs w:val="14"/>
          <w:color w:val="auto"/>
        </w:rPr>
      </w:pPr>
    </w:p>
    <w:p>
      <w:pPr>
        <w:ind w:left="428" w:firstLine="436"/>
        <w:spacing w:after="0" w:line="268" w:lineRule="auto"/>
        <w:tabs>
          <w:tab w:leader="none" w:pos="1178"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as to which Administrative Agent and Loan Parties agree in writing that the cost of creating or perfecting a pledge of, or a security interest in, such assets is excessive in relation to the value of the security to be afforded thereby;</w:t>
      </w:r>
    </w:p>
    <w:p>
      <w:pPr>
        <w:jc w:val="both"/>
        <w:ind w:left="428" w:firstLine="436"/>
        <w:spacing w:after="0" w:line="244" w:lineRule="auto"/>
        <w:tabs>
          <w:tab w:leader="none" w:pos="12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rights or interest in any lease, contract, license or license agreement covering personal Property or real Property and/or such assets subject thereto, so long as under the terms of such lease, contract, license or license agreement, the grant of a security interest or Lien therein for the benefit of the Secured Parties (i) is prohibited, (ii) would give any other party to such lease, contract, license or license agreement, instrument or indenture the right to terminate its obligations thereunder, or (iii) is permitted only with the consent of another party (including, without limitation, any Governmental Authority) (or would render such lease, contract, license or license agreement cancelled, invalid or unenforceable) and such prohibition has not been or is not waived or the consent of the other party to such lease, contract, license or license agreement has not been or is not otherwise obtained;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this exclusion shall in no way be construed to apply if any such prohibition is unenforceable under the UCC or any other Law (including any Debtor Relief Law) or so as to limit, impair or otherwise affect the unconditional continuing security interests in and Liens for the benefit of the Secured Parties upon any rights or interests in or to monies due or to become due under any such lease, contract, license or license agreement (including any receivables)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with respect to any lease, contract, license or license agreement entered into after the Closing Date, the Loan Parties shall use commercially reasonable efforts to permit Liens for the benefit of the Secured Parties on each such lease,</w:t>
      </w:r>
    </w:p>
    <w:p>
      <w:pPr>
        <w:spacing w:after="0" w:line="3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308"/>
          </w:cols>
          <w:pgMar w:left="292" w:top="287" w:right="29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contract, license or license agreement and avoid prohibitions of the types described in </w:t>
      </w:r>
      <w:r>
        <w:rPr>
          <w:rFonts w:ascii="Times New Roman" w:cs="Times New Roman" w:eastAsia="Times New Roman" w:hAnsi="Times New Roman"/>
          <w:sz w:val="14"/>
          <w:szCs w:val="14"/>
          <w:b w:val="1"/>
          <w:bCs w:val="1"/>
          <w:i w:val="1"/>
          <w:iCs w:val="1"/>
          <w:color w:val="auto"/>
        </w:rPr>
        <w:t>clauses (i</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b w:val="1"/>
          <w:bCs w:val="1"/>
          <w:i w:val="1"/>
          <w:iCs w:val="1"/>
          <w:color w:val="auto"/>
        </w:rPr>
        <w:t>(iii)</w:t>
      </w:r>
      <w:r>
        <w:rPr>
          <w:rFonts w:ascii="Times New Roman" w:cs="Times New Roman" w:eastAsia="Times New Roman" w:hAnsi="Times New Roman"/>
          <w:sz w:val="14"/>
          <w:szCs w:val="14"/>
          <w:color w:val="auto"/>
        </w:rPr>
        <w:t xml:space="preserve"> above;</w:t>
      </w:r>
    </w:p>
    <w:p>
      <w:pPr>
        <w:spacing w:after="0" w:line="37" w:lineRule="exact"/>
        <w:rPr>
          <w:sz w:val="20"/>
          <w:szCs w:val="20"/>
          <w:color w:val="auto"/>
        </w:rPr>
      </w:pPr>
    </w:p>
    <w:p>
      <w:pPr>
        <w:ind w:left="1160" w:hanging="304"/>
        <w:spacing w:after="0"/>
        <w:tabs>
          <w:tab w:leader="none" w:pos="11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such account described in </w:t>
      </w:r>
      <w:r>
        <w:rPr>
          <w:rFonts w:ascii="Times New Roman" w:cs="Times New Roman" w:eastAsia="Times New Roman" w:hAnsi="Times New Roman"/>
          <w:sz w:val="14"/>
          <w:szCs w:val="14"/>
          <w:b w:val="1"/>
          <w:bCs w:val="1"/>
          <w:i w:val="1"/>
          <w:iCs w:val="1"/>
          <w:color w:val="auto"/>
        </w:rPr>
        <w:t>clause (b)</w:t>
      </w:r>
      <w:r>
        <w:rPr>
          <w:rFonts w:ascii="Times New Roman" w:cs="Times New Roman" w:eastAsia="Times New Roman" w:hAnsi="Times New Roman"/>
          <w:sz w:val="14"/>
          <w:szCs w:val="14"/>
          <w:color w:val="auto"/>
        </w:rPr>
        <w:t xml:space="preserve"> of the definition of “Excluded Accounts”;</w:t>
      </w:r>
    </w:p>
    <w:p>
      <w:pPr>
        <w:spacing w:after="0" w:line="41" w:lineRule="exact"/>
        <w:rPr>
          <w:rFonts w:ascii="Times New Roman" w:cs="Times New Roman" w:eastAsia="Times New Roman" w:hAnsi="Times New Roman"/>
          <w:sz w:val="14"/>
          <w:szCs w:val="14"/>
          <w:color w:val="auto"/>
        </w:rPr>
      </w:pPr>
    </w:p>
    <w:p>
      <w:pPr>
        <w:jc w:val="both"/>
        <w:ind w:left="420" w:firstLine="436"/>
        <w:spacing w:after="0" w:line="251" w:lineRule="auto"/>
        <w:tabs>
          <w:tab w:leader="none" w:pos="1171"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application for registration of a trademark filed in the United States Patent and Trademark Office on an intent to use basis to the extent that the grant of a security interest in any such trademark application would adversely affect the validity or enforceability or result in cancellation or voiding of such trademark application,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such trademark applications shall no longer be considered Excluded Assets upon the filing of a Statement of Use or an Amendment to Allege Use has been filed and accepted in the United States Patent and Trademark Office;</w:t>
      </w:r>
    </w:p>
    <w:p>
      <w:pPr>
        <w:jc w:val="both"/>
        <w:ind w:left="420" w:firstLine="436"/>
        <w:spacing w:after="0" w:line="253" w:lineRule="auto"/>
        <w:tabs>
          <w:tab w:leader="none" w:pos="115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assets that are subject to a Lien permitted under </w:t>
      </w:r>
      <w:r>
        <w:rPr>
          <w:rFonts w:ascii="Times New Roman" w:cs="Times New Roman" w:eastAsia="Times New Roman" w:hAnsi="Times New Roman"/>
          <w:sz w:val="14"/>
          <w:szCs w:val="14"/>
          <w:b w:val="1"/>
          <w:bCs w:val="1"/>
          <w:i w:val="1"/>
          <w:iCs w:val="1"/>
          <w:color w:val="auto"/>
        </w:rPr>
        <w:t>Section 7.2(j)</w:t>
      </w:r>
      <w:r>
        <w:rPr>
          <w:rFonts w:ascii="Times New Roman" w:cs="Times New Roman" w:eastAsia="Times New Roman" w:hAnsi="Times New Roman"/>
          <w:sz w:val="14"/>
          <w:szCs w:val="14"/>
          <w:color w:val="auto"/>
        </w:rPr>
        <w:t xml:space="preserve"> if the contract or other agreement in which the Lien is granted (or the documentation providing for the Debt secured thereby) prohibits the creation of any other Lien on such assets;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immediately upon the ineffectiveness, lapse or termination of any such Lien permitted under </w:t>
      </w:r>
      <w:r>
        <w:rPr>
          <w:rFonts w:ascii="Times New Roman" w:cs="Times New Roman" w:eastAsia="Times New Roman" w:hAnsi="Times New Roman"/>
          <w:sz w:val="14"/>
          <w:szCs w:val="14"/>
          <w:b w:val="1"/>
          <w:bCs w:val="1"/>
          <w:i w:val="1"/>
          <w:iCs w:val="1"/>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7.2(j)</w:t>
      </w:r>
      <w:r>
        <w:rPr>
          <w:rFonts w:ascii="Times New Roman" w:cs="Times New Roman" w:eastAsia="Times New Roman" w:hAnsi="Times New Roman"/>
          <w:sz w:val="14"/>
          <w:szCs w:val="14"/>
          <w:color w:val="auto"/>
        </w:rPr>
        <w:t>, such assets shall no longer be considered Excluded Assets pursuant to this</w:t>
      </w:r>
      <w:r>
        <w:rPr>
          <w:rFonts w:ascii="Times New Roman" w:cs="Times New Roman" w:eastAsia="Times New Roman" w:hAnsi="Times New Roman"/>
          <w:sz w:val="14"/>
          <w:szCs w:val="14"/>
          <w:b w:val="1"/>
          <w:bCs w:val="1"/>
          <w:i w:val="1"/>
          <w:iCs w:val="1"/>
          <w:color w:val="auto"/>
        </w:rPr>
        <w:t xml:space="preserve"> clause (f) </w:t>
      </w:r>
      <w:r>
        <w:rPr>
          <w:rFonts w:ascii="Times New Roman" w:cs="Times New Roman" w:eastAsia="Times New Roman" w:hAnsi="Times New Roman"/>
          <w:sz w:val="14"/>
          <w:szCs w:val="14"/>
          <w:color w:val="auto"/>
        </w:rPr>
        <w:t>and the Collateral shall include all such rights and interest in such assets as if such Lien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permitted under </w:t>
      </w:r>
      <w:r>
        <w:rPr>
          <w:rFonts w:ascii="Times New Roman" w:cs="Times New Roman" w:eastAsia="Times New Roman" w:hAnsi="Times New Roman"/>
          <w:sz w:val="14"/>
          <w:szCs w:val="14"/>
          <w:b w:val="1"/>
          <w:bCs w:val="1"/>
          <w:i w:val="1"/>
          <w:iCs w:val="1"/>
          <w:color w:val="auto"/>
        </w:rPr>
        <w:t>Section 7.2(j)</w:t>
      </w:r>
      <w:r>
        <w:rPr>
          <w:rFonts w:ascii="Times New Roman" w:cs="Times New Roman" w:eastAsia="Times New Roman" w:hAnsi="Times New Roman"/>
          <w:sz w:val="14"/>
          <w:szCs w:val="14"/>
          <w:color w:val="auto"/>
        </w:rPr>
        <w:t xml:space="preserve"> had never been in effect (unless such asset would constitute as an Excluded Asset under any other clause herein);</w:t>
      </w:r>
    </w:p>
    <w:p>
      <w:pPr>
        <w:spacing w:after="0" w:line="1" w:lineRule="exact"/>
        <w:rPr>
          <w:rFonts w:ascii="Times New Roman" w:cs="Times New Roman" w:eastAsia="Times New Roman" w:hAnsi="Times New Roman"/>
          <w:sz w:val="14"/>
          <w:szCs w:val="14"/>
          <w:color w:val="auto"/>
        </w:rPr>
      </w:pPr>
    </w:p>
    <w:p>
      <w:pPr>
        <w:ind w:left="420" w:right="20" w:firstLine="436"/>
        <w:spacing w:after="0" w:line="271" w:lineRule="auto"/>
        <w:tabs>
          <w:tab w:leader="none" w:pos="1196"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real Property owned by any Loan Party and each of its Subsidiaries on the Closing Date as set forth on </w:t>
      </w:r>
      <w:r>
        <w:rPr>
          <w:rFonts w:ascii="Times New Roman" w:cs="Times New Roman" w:eastAsia="Times New Roman" w:hAnsi="Times New Roman"/>
          <w:sz w:val="14"/>
          <w:szCs w:val="14"/>
          <w:b w:val="1"/>
          <w:bCs w:val="1"/>
          <w:i w:val="1"/>
          <w:iCs w:val="1"/>
          <w:color w:val="auto"/>
        </w:rPr>
        <w:t>Schedule 5.6(b)</w:t>
      </w:r>
      <w:r>
        <w:rPr>
          <w:rFonts w:ascii="Times New Roman" w:cs="Times New Roman" w:eastAsia="Times New Roman" w:hAnsi="Times New Roman"/>
          <w:sz w:val="14"/>
          <w:szCs w:val="14"/>
          <w:color w:val="auto"/>
        </w:rPr>
        <w:t xml:space="preserve"> hereto (such Property, the “</w:t>
      </w:r>
      <w:r>
        <w:rPr>
          <w:rFonts w:ascii="Times New Roman" w:cs="Times New Roman" w:eastAsia="Times New Roman" w:hAnsi="Times New Roman"/>
          <w:sz w:val="14"/>
          <w:szCs w:val="14"/>
          <w:b w:val="1"/>
          <w:bCs w:val="1"/>
          <w:i w:val="1"/>
          <w:iCs w:val="1"/>
          <w:color w:val="auto"/>
        </w:rPr>
        <w:t>Specified Excluded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Real Property</w:t>
      </w:r>
      <w:r>
        <w:rPr>
          <w:rFonts w:ascii="Times New Roman" w:cs="Times New Roman" w:eastAsia="Times New Roman" w:hAnsi="Times New Roman"/>
          <w:sz w:val="14"/>
          <w:szCs w:val="14"/>
          <w:color w:val="auto"/>
        </w:rPr>
        <w:t>”);</w:t>
      </w:r>
    </w:p>
    <w:p>
      <w:pPr>
        <w:ind w:left="1160" w:hanging="304"/>
        <w:spacing w:after="0"/>
        <w:tabs>
          <w:tab w:leader="none" w:pos="11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real Property owned by any Loan Party and each of its Subsidiaries; and</w:t>
      </w:r>
    </w:p>
    <w:p>
      <w:pPr>
        <w:spacing w:after="0" w:line="37" w:lineRule="exact"/>
        <w:rPr>
          <w:rFonts w:ascii="Times New Roman" w:cs="Times New Roman" w:eastAsia="Times New Roman" w:hAnsi="Times New Roman"/>
          <w:sz w:val="14"/>
          <w:szCs w:val="14"/>
          <w:color w:val="auto"/>
        </w:rPr>
      </w:pPr>
    </w:p>
    <w:p>
      <w:pPr>
        <w:ind w:left="1140" w:hanging="284"/>
        <w:spacing w:after="0"/>
        <w:tabs>
          <w:tab w:leader="none" w:pos="11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long as the Rabbi Trust constitutes as an “Excluded Subsidiary” under this Agreement, any Equity Interests in the Rabbi Trust.</w:t>
      </w:r>
    </w:p>
    <w:p>
      <w:pPr>
        <w:spacing w:after="0" w:line="33"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4"/>
          <w:szCs w:val="14"/>
          <w:color w:val="auto"/>
        </w:rPr>
        <w:t xml:space="preserve">To the extent that such Property constitutes as an “Excluded Asset” due to the failure by any Loan Party to obtain a consent as described in </w:t>
      </w:r>
      <w:r>
        <w:rPr>
          <w:rFonts w:ascii="Times New Roman" w:cs="Times New Roman" w:eastAsia="Times New Roman" w:hAnsi="Times New Roman"/>
          <w:sz w:val="14"/>
          <w:szCs w:val="14"/>
          <w:b w:val="1"/>
          <w:bCs w:val="1"/>
          <w:i w:val="1"/>
          <w:iCs w:val="1"/>
          <w:color w:val="auto"/>
        </w:rPr>
        <w:t>clause (c)</w:t>
      </w:r>
      <w:r>
        <w:rPr>
          <w:rFonts w:ascii="Times New Roman" w:cs="Times New Roman" w:eastAsia="Times New Roman" w:hAnsi="Times New Roman"/>
          <w:sz w:val="14"/>
          <w:szCs w:val="14"/>
          <w:color w:val="auto"/>
        </w:rPr>
        <w:t xml:space="preserve"> above, such Loan Party shall use commercially reasonable efforts to obtain such consent and, upon obtaining such consent, such Property shall cease to constitute as an “Excluded Asset”. Notwithstanding anything herein to the contrary, Excluded Assets shall not include any right to receive proceeds from the sale or other disposition of Excluded Assets, any Proceeds (as defined in the UCC), products, substitutions or replacements of any Excluded Asset (unless such rights, Proceeds, products, substitutions or replacements independently constitute Excluded Assets), all of which shall expressly be Collateral.</w:t>
      </w:r>
    </w:p>
    <w:p>
      <w:pPr>
        <w:spacing w:after="0" w:line="2"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Excluded Subsidiary</w:t>
      </w:r>
      <w:r>
        <w:rPr>
          <w:rFonts w:ascii="Times New Roman" w:cs="Times New Roman" w:eastAsia="Times New Roman" w:hAnsi="Times New Roman"/>
          <w:sz w:val="14"/>
          <w:szCs w:val="14"/>
          <w:color w:val="auto"/>
        </w:rPr>
        <w:t>” means (a) as of the Closing Date, the Rabbi Trust under the Natural Gas Services Group, Inc. Deferred Compensation Plan; provided that such Person shall only constitute as an “Excluded Subsidiary” for purposes of this Agreement and the other Loan Documents so long as (i) such Person complies with the requirements of a “grantor trust” under the IRS’s Revenue Procedures 92-64 and 92-65 and (ii) the principal and income of such Person shall be subject to the claims of creditors of the Loan Parties under federal and state Law (the “</w:t>
      </w:r>
      <w:r>
        <w:rPr>
          <w:rFonts w:ascii="Times New Roman" w:cs="Times New Roman" w:eastAsia="Times New Roman" w:hAnsi="Times New Roman"/>
          <w:sz w:val="14"/>
          <w:szCs w:val="14"/>
          <w:b w:val="1"/>
          <w:bCs w:val="1"/>
          <w:i w:val="1"/>
          <w:iCs w:val="1"/>
          <w:color w:val="auto"/>
        </w:rPr>
        <w:t>Rabbi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Trust</w:t>
      </w:r>
      <w:r>
        <w:rPr>
          <w:rFonts w:ascii="Times New Roman" w:cs="Times New Roman" w:eastAsia="Times New Roman" w:hAnsi="Times New Roman"/>
          <w:sz w:val="14"/>
          <w:szCs w:val="14"/>
          <w:color w:val="auto"/>
        </w:rPr>
        <w:t>”) and (b) each CFC and U.S. Foreign HoldCo, to the extent that making such CFC or U.S. Foreign HoldCo a Guarantor could reasonably be expected to give rise to material adverse tax</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consequences to Holdings (or any direct or indirect owner thereof) or any of its Subsidiaries (in each case, as determined by Holdings in good faith in consultation with the Administrative Agent).</w:t>
      </w:r>
    </w:p>
    <w:p>
      <w:pPr>
        <w:spacing w:after="0" w:line="1"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Excluded Swap Obligation</w:t>
      </w:r>
      <w:r>
        <w:rPr>
          <w:rFonts w:ascii="Times New Roman" w:cs="Times New Roman" w:eastAsia="Times New Roman" w:hAnsi="Times New Roman"/>
          <w:sz w:val="14"/>
          <w:szCs w:val="14"/>
          <w:color w:val="auto"/>
        </w:rPr>
        <w:t>” means, with respect to any Loan Party, any Swap Obligation if, and to the extent that, all or a portion of the Guarantee of such Loan Party of, or the grant by such Loan Party of a Lien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(determined after giving effect to any “keepwell, support or other agreement” for the benefit of such Loan Party and any and all guarantees of such Loan Party’s Swap Obligations by any Borrower or any other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300"/>
          </w:cols>
          <w:pgMar w:left="300" w:top="287" w:right="29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Loan Party) at the time the Guarantee of such Loan Party, or a grant by such Loan Party of a Lien, becomes effective with respect to such Swap Obligation. If a Swap Obligation arises under a Master Agreement governing more than one swap, such exclusion shall apply only to the portion of such Swap Obligation that is attributable to swaps for which such Guarantee or Lien is or becomes excluded in accordance with the first sentence of this definition.</w:t>
      </w:r>
    </w:p>
    <w:p>
      <w:pPr>
        <w:spacing w:after="0" w:line="1"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Excluded Taxes</w:t>
      </w:r>
      <w:r>
        <w:rPr>
          <w:rFonts w:ascii="Times New Roman" w:cs="Times New Roman" w:eastAsia="Times New Roman" w:hAnsi="Times New Roman"/>
          <w:sz w:val="14"/>
          <w:szCs w:val="14"/>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such Loan or Commitment (other than pursuant to an assignment request by any Borrower under </w:t>
      </w:r>
      <w:r>
        <w:rPr>
          <w:rFonts w:ascii="Times New Roman" w:cs="Times New Roman" w:eastAsia="Times New Roman" w:hAnsi="Times New Roman"/>
          <w:sz w:val="14"/>
          <w:szCs w:val="14"/>
          <w:b w:val="1"/>
          <w:bCs w:val="1"/>
          <w:i w:val="1"/>
          <w:iCs w:val="1"/>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3.6(b)</w:t>
      </w:r>
      <w:r>
        <w:rPr>
          <w:rFonts w:ascii="Times New Roman" w:cs="Times New Roman" w:eastAsia="Times New Roman" w:hAnsi="Times New Roman"/>
          <w:sz w:val="14"/>
          <w:szCs w:val="14"/>
          <w:color w:val="auto"/>
        </w:rPr>
        <w:t>) or (ii) such Lender changes its Lending Office, except in each case to the extent that, pursuant to</w:t>
      </w:r>
      <w:r>
        <w:rPr>
          <w:rFonts w:ascii="Times New Roman" w:cs="Times New Roman" w:eastAsia="Times New Roman" w:hAnsi="Times New Roman"/>
          <w:sz w:val="14"/>
          <w:szCs w:val="14"/>
          <w:b w:val="1"/>
          <w:bCs w:val="1"/>
          <w:i w:val="1"/>
          <w:iCs w:val="1"/>
          <w:color w:val="auto"/>
        </w:rPr>
        <w:t xml:space="preserve"> Section 3.4</w:t>
      </w:r>
      <w:r>
        <w:rPr>
          <w:rFonts w:ascii="Times New Roman" w:cs="Times New Roman" w:eastAsia="Times New Roman" w:hAnsi="Times New Roman"/>
          <w:sz w:val="14"/>
          <w:szCs w:val="14"/>
          <w:color w:val="auto"/>
        </w:rPr>
        <w:t>, amounts with respect to such Taxes were payable either to such Lender’s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4"/>
          <w:szCs w:val="14"/>
          <w:b w:val="1"/>
          <w:bCs w:val="1"/>
          <w:i w:val="1"/>
          <w:iCs w:val="1"/>
          <w:color w:val="auto"/>
        </w:rPr>
        <w:t>Section 3.4(g)</w:t>
      </w:r>
      <w:r>
        <w:rPr>
          <w:rFonts w:ascii="Times New Roman" w:cs="Times New Roman" w:eastAsia="Times New Roman" w:hAnsi="Times New Roman"/>
          <w:sz w:val="14"/>
          <w:szCs w:val="14"/>
          <w:color w:val="auto"/>
        </w:rPr>
        <w:t xml:space="preserve"> and (d) any U.S. federal withholding Taxes imposed under FATCA.</w:t>
      </w:r>
    </w:p>
    <w:p>
      <w:pPr>
        <w:spacing w:after="0" w:line="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Existing Credit Agreement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Recital A</w:t>
      </w:r>
      <w:r>
        <w:rPr>
          <w:rFonts w:ascii="Times New Roman" w:cs="Times New Roman" w:eastAsia="Times New Roman" w:hAnsi="Times New Roman"/>
          <w:sz w:val="14"/>
          <w:szCs w:val="14"/>
          <w:color w:val="auto"/>
        </w:rPr>
        <w:t xml:space="preserve"> hereof.</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Existing Letters of Credit</w:t>
      </w:r>
      <w:r>
        <w:rPr>
          <w:rFonts w:ascii="Times New Roman" w:cs="Times New Roman" w:eastAsia="Times New Roman" w:hAnsi="Times New Roman"/>
          <w:sz w:val="14"/>
          <w:szCs w:val="14"/>
          <w:color w:val="auto"/>
        </w:rPr>
        <w:t xml:space="preserve">” means any standby letter of credit issued under the Existing Credit Agreement and listed on </w:t>
      </w:r>
      <w:r>
        <w:rPr>
          <w:rFonts w:ascii="Times New Roman" w:cs="Times New Roman" w:eastAsia="Times New Roman" w:hAnsi="Times New Roman"/>
          <w:sz w:val="14"/>
          <w:szCs w:val="14"/>
          <w:b w:val="1"/>
          <w:bCs w:val="1"/>
          <w:i w:val="1"/>
          <w:iCs w:val="1"/>
          <w:color w:val="auto"/>
        </w:rPr>
        <w:t>Schedule 2.2</w:t>
      </w:r>
      <w:r>
        <w:rPr>
          <w:rFonts w:ascii="Times New Roman" w:cs="Times New Roman" w:eastAsia="Times New Roman" w:hAnsi="Times New Roman"/>
          <w:sz w:val="14"/>
          <w:szCs w:val="14"/>
          <w:color w:val="auto"/>
        </w:rPr>
        <w:t xml:space="preserve"> hereto that are outstanding as of the Closing Date.</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Existing Loan Documents</w:t>
      </w:r>
      <w:r>
        <w:rPr>
          <w:rFonts w:ascii="Times New Roman" w:cs="Times New Roman" w:eastAsia="Times New Roman" w:hAnsi="Times New Roman"/>
          <w:sz w:val="14"/>
          <w:szCs w:val="14"/>
          <w:color w:val="auto"/>
        </w:rPr>
        <w:t>” means the “Loan Document” (as defined in the Existing Credit Agreement) as in effect prior to the date hereof.</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FASB ASC</w:t>
      </w:r>
      <w:r>
        <w:rPr>
          <w:rFonts w:ascii="Times New Roman" w:cs="Times New Roman" w:eastAsia="Times New Roman" w:hAnsi="Times New Roman"/>
          <w:sz w:val="14"/>
          <w:szCs w:val="14"/>
          <w:color w:val="auto"/>
        </w:rPr>
        <w:t>” means the Accounting Standards Codification of the Financial Accounting Standards Board.</w:t>
      </w:r>
    </w:p>
    <w:p>
      <w:pPr>
        <w:spacing w:after="0" w:line="3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FATCA</w:t>
      </w:r>
      <w:r>
        <w:rPr>
          <w:rFonts w:ascii="Times New Roman" w:cs="Times New Roman" w:eastAsia="Times New Roman" w:hAnsi="Times New Roman"/>
          <w:sz w:val="14"/>
          <w:szCs w:val="14"/>
          <w:color w:val="auto"/>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w:t>
      </w:r>
      <w:r>
        <w:rPr>
          <w:rFonts w:ascii="Times New Roman" w:cs="Times New Roman" w:eastAsia="Times New Roman" w:hAnsi="Times New Roman"/>
          <w:sz w:val="14"/>
          <w:szCs w:val="14"/>
          <w:i w:val="1"/>
          <w:iCs w:val="1"/>
          <w:color w:val="auto"/>
        </w:rPr>
        <w:t>Section 1471(b)(1)</w:t>
      </w:r>
      <w:r>
        <w:rPr>
          <w:rFonts w:ascii="Times New Roman" w:cs="Times New Roman" w:eastAsia="Times New Roman" w:hAnsi="Times New Roman"/>
          <w:sz w:val="14"/>
          <w:szCs w:val="14"/>
          <w:color w:val="auto"/>
        </w:rPr>
        <w:t xml:space="preserve"> of the Code and any fiscal or regulatory legislation, rules or practices adopted pursuant to any intergovernmental agreement, treaty or convention among Governmental Authorities and implementing such Sections of the Code.</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FCPA</w:t>
      </w:r>
      <w:r>
        <w:rPr>
          <w:rFonts w:ascii="Times New Roman" w:cs="Times New Roman" w:eastAsia="Times New Roman" w:hAnsi="Times New Roman"/>
          <w:sz w:val="14"/>
          <w:szCs w:val="14"/>
          <w:color w:val="auto"/>
        </w:rPr>
        <w:t>” means the Foreign Corrupt Practices Act of 1977, as amended.</w:t>
      </w:r>
    </w:p>
    <w:p>
      <w:pPr>
        <w:spacing w:after="0" w:line="37"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Federal Funds Rate</w:t>
      </w:r>
      <w:r>
        <w:rPr>
          <w:rFonts w:ascii="Times New Roman" w:cs="Times New Roman" w:eastAsia="Times New Roman" w:hAnsi="Times New Roman"/>
          <w:sz w:val="14"/>
          <w:szCs w:val="14"/>
          <w:color w:val="auto"/>
        </w:rPr>
        <w:t xml:space="preserve">” means, for any day, the rate per annum (rounded upwards, if necessary, to the nearest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if the day for which such rate is to be determined is not a Business Day, the Federal Funds Rate for such day shall be such rate on such transactions on the next preceding Business Day as so published on the next succeeding Business Day, and (b) if such rate is not so published for any day, the Federal Funds Rate for such day shall be the average rate charged to Administrative Agent on such day on such transactions as determined by Administrative Agent;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if the Federal Funds Rate shall be less than zero, such rate shall be deemed zero for purposes of this Agreement.</w:t>
      </w:r>
    </w:p>
    <w:p>
      <w:pPr>
        <w:spacing w:after="0" w:line="2"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Fee Letter</w:t>
      </w:r>
      <w:r>
        <w:rPr>
          <w:rFonts w:ascii="Times New Roman" w:cs="Times New Roman" w:eastAsia="Times New Roman" w:hAnsi="Times New Roman"/>
          <w:sz w:val="14"/>
          <w:szCs w:val="14"/>
          <w:color w:val="auto"/>
        </w:rPr>
        <w:t>” means (a) the separate fee letter dated as of May 11, 2021 between Borrower Representative and Texas Capital Bank, (b) the separate proposal letter dated as of December 22, 2022 between Borrower Representative, Texas Capital Bank and TCBI Securities, Inc., as an Arranger and (c) any other engagement letter or fee letter among Borrower Representative and Administrative Agent, Texas Capital Bank and/or its Affiliates concerning fees to be paid by Borrower Representative in connection with this Agreement including any amendments, restatements, supplements or modifications thereof. By its execution of this Agreement, each Lender acknowledges and agrees that Administrative Agent, Texas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300"/>
          </w:cols>
          <w:pgMar w:left="300" w:top="287" w:right="299" w:bottom="1440" w:gutter="0" w:footer="0" w:header="0"/>
        </w:sectPr>
      </w:pPr>
    </w:p>
    <w:bookmarkStart w:id="109" w:name="page110"/>
    <w:bookmarkEnd w:id="109"/>
    <w:p>
      <w:pPr>
        <w:ind w:left="10688"/>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Capital Bank and/or its Affiliates may elect to treat as confidential and not share with Lenders any Fee Letter executed from time to time in connection with this Agreement.</w:t>
      </w:r>
    </w:p>
    <w:p>
      <w:pPr>
        <w:spacing w:after="0" w:line="33"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Fifth Amendment</w:t>
      </w:r>
      <w:r>
        <w:rPr>
          <w:rFonts w:ascii="Times New Roman" w:cs="Times New Roman" w:eastAsia="Times New Roman" w:hAnsi="Times New Roman"/>
          <w:sz w:val="14"/>
          <w:szCs w:val="14"/>
          <w:color w:val="auto"/>
        </w:rPr>
        <w:t>” means that certain Fifth Amendment to Amended and Restated Credit Agreement dated as of the Fifth Amendment Effective Date, by and among Holdings, the other Borrowers and Loan Parties party thereto, the Administrative Agent and the Lenders party thereto.</w:t>
      </w: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Fifth Amendment Effective Date</w:t>
      </w:r>
      <w:r>
        <w:rPr>
          <w:rFonts w:ascii="Times New Roman" w:cs="Times New Roman" w:eastAsia="Times New Roman" w:hAnsi="Times New Roman"/>
          <w:sz w:val="14"/>
          <w:szCs w:val="14"/>
          <w:color w:val="auto"/>
        </w:rPr>
        <w:t>” means June 12, 2026.</w:t>
      </w:r>
    </w:p>
    <w:p>
      <w:pPr>
        <w:spacing w:after="0" w:line="3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Financial Covenants</w:t>
      </w:r>
      <w:r>
        <w:rPr>
          <w:rFonts w:ascii="Times New Roman" w:cs="Times New Roman" w:eastAsia="Times New Roman" w:hAnsi="Times New Roman"/>
          <w:sz w:val="14"/>
          <w:szCs w:val="14"/>
          <w:color w:val="auto"/>
        </w:rPr>
        <w:t xml:space="preserve">” means the covenants set forth in </w:t>
      </w:r>
      <w:r>
        <w:rPr>
          <w:rFonts w:ascii="Times New Roman" w:cs="Times New Roman" w:eastAsia="Times New Roman" w:hAnsi="Times New Roman"/>
          <w:sz w:val="14"/>
          <w:szCs w:val="14"/>
          <w:b w:val="1"/>
          <w:bCs w:val="1"/>
          <w:i w:val="1"/>
          <w:iCs w:val="1"/>
          <w:color w:val="auto"/>
        </w:rPr>
        <w:t>Sections 8.1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8.2</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jc w:val="both"/>
        <w:ind w:left="8" w:firstLine="43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First Amendment</w:t>
      </w:r>
      <w:r>
        <w:rPr>
          <w:rFonts w:ascii="Times New Roman" w:cs="Times New Roman" w:eastAsia="Times New Roman" w:hAnsi="Times New Roman"/>
          <w:sz w:val="14"/>
          <w:szCs w:val="14"/>
          <w:color w:val="auto"/>
        </w:rPr>
        <w:t>” means that certain First Amendment to Amended and Restated Credit Agreement dated as of the First Amendment Effective Date, by and among Holdings, the other Borrowers and Loan Parties party thereto, the Administrative Agent and the Lenders party thereto.</w:t>
      </w:r>
    </w:p>
    <w:p>
      <w:pPr>
        <w:spacing w:after="0" w:line="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First Amendment Effective Date</w:t>
      </w:r>
      <w:r>
        <w:rPr>
          <w:rFonts w:ascii="Times New Roman" w:cs="Times New Roman" w:eastAsia="Times New Roman" w:hAnsi="Times New Roman"/>
          <w:sz w:val="14"/>
          <w:szCs w:val="14"/>
          <w:color w:val="auto"/>
        </w:rPr>
        <w:t>” means November 14, 2023.</w:t>
      </w:r>
    </w:p>
    <w:p>
      <w:pPr>
        <w:spacing w:after="0" w:line="37" w:lineRule="exact"/>
        <w:rPr>
          <w:sz w:val="20"/>
          <w:szCs w:val="20"/>
          <w:color w:val="auto"/>
        </w:rPr>
      </w:pPr>
    </w:p>
    <w:p>
      <w:pPr>
        <w:jc w:val="both"/>
        <w:ind w:left="8" w:right="20"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Fixed Charge Coverage Ratio</w:t>
      </w:r>
      <w:r>
        <w:rPr>
          <w:rFonts w:ascii="Times New Roman" w:cs="Times New Roman" w:eastAsia="Times New Roman" w:hAnsi="Times New Roman"/>
          <w:sz w:val="14"/>
          <w:szCs w:val="14"/>
          <w:color w:val="auto"/>
        </w:rPr>
        <w:t xml:space="preserve">” means, for any date of determination, the ratio of (a) Annualized EBITDA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Unfinanced Capital Expenditures;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solely for purposes of calculating the Fixed Charge Coverage Ratio, such Unfinanced Capital Expenditures during such period, the proceeds of which were used to acquire or construct Compressor Units, shall not include more than twenty percent (20%) of the total Capital Expenditures made during such period to (b) Fixed Charges for Holdings and its Subsidiaries for the four (4) fiscal quarter period then ending.</w:t>
      </w:r>
    </w:p>
    <w:p>
      <w:pPr>
        <w:spacing w:after="0" w:line="163" w:lineRule="exact"/>
        <w:rPr>
          <w:sz w:val="20"/>
          <w:szCs w:val="20"/>
          <w:color w:val="auto"/>
        </w:rPr>
      </w:pPr>
    </w:p>
    <w:p>
      <w:pPr>
        <w:jc w:val="both"/>
        <w:ind w:left="8" w:firstLine="432"/>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Fixed Charges</w:t>
      </w:r>
      <w:r>
        <w:rPr>
          <w:rFonts w:ascii="Times New Roman" w:cs="Times New Roman" w:eastAsia="Times New Roman" w:hAnsi="Times New Roman"/>
          <w:sz w:val="14"/>
          <w:szCs w:val="14"/>
          <w:color w:val="auto"/>
        </w:rPr>
        <w:t xml:space="preserve">” means, for any Person for any period, the sum of (a) Debt Service for such period,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(b) cash income taxes paid during such period,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(c) the sum of any dividends, distributions and other Restricted Payments (including any management, advisory or similar fees paid to any holder of any Equity Interests of a Loan Party or their Affiliates) made during such period.</w:t>
      </w:r>
    </w:p>
    <w:p>
      <w:pPr>
        <w:spacing w:after="0" w:line="15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Floor</w:t>
      </w:r>
      <w:r>
        <w:rPr>
          <w:rFonts w:ascii="Times New Roman" w:cs="Times New Roman" w:eastAsia="Times New Roman" w:hAnsi="Times New Roman"/>
          <w:sz w:val="14"/>
          <w:szCs w:val="14"/>
          <w:color w:val="auto"/>
        </w:rPr>
        <w:t>” means a rate of interest equal to 0%.</w:t>
      </w:r>
    </w:p>
    <w:p>
      <w:pPr>
        <w:spacing w:after="0" w:line="3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Foreign Lender</w:t>
      </w:r>
      <w:r>
        <w:rPr>
          <w:rFonts w:ascii="Times New Roman" w:cs="Times New Roman" w:eastAsia="Times New Roman" w:hAnsi="Times New Roman"/>
          <w:sz w:val="14"/>
          <w:szCs w:val="14"/>
          <w:color w:val="auto"/>
        </w:rPr>
        <w:t>” means a Lender that is not a U.S. Person.</w:t>
      </w:r>
    </w:p>
    <w:p>
      <w:pPr>
        <w:spacing w:after="0" w:line="3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Foreign Subsidiaries</w:t>
      </w:r>
      <w:r>
        <w:rPr>
          <w:rFonts w:ascii="Times New Roman" w:cs="Times New Roman" w:eastAsia="Times New Roman" w:hAnsi="Times New Roman"/>
          <w:sz w:val="14"/>
          <w:szCs w:val="14"/>
          <w:color w:val="auto"/>
        </w:rPr>
        <w:t>” means each Subsidiary other than a Domestic Subsidiary.</w:t>
      </w:r>
    </w:p>
    <w:p>
      <w:pPr>
        <w:spacing w:after="0" w:line="34"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Fourth Amendment</w:t>
      </w:r>
      <w:r>
        <w:rPr>
          <w:rFonts w:ascii="Times New Roman" w:cs="Times New Roman" w:eastAsia="Times New Roman" w:hAnsi="Times New Roman"/>
          <w:sz w:val="14"/>
          <w:szCs w:val="14"/>
          <w:color w:val="auto"/>
        </w:rPr>
        <w:t>” means that certain Fourth Amendment to Amended and Restated Credit Agreement dated as of the Fourth Amendment Effective Date, by and among Holdings, the other Borrowers and Loan Parties party thereto, the Administrative Agent and the Lenders party thereto.</w:t>
      </w: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Fourth Amendment Effective Date</w:t>
      </w:r>
      <w:r>
        <w:rPr>
          <w:rFonts w:ascii="Times New Roman" w:cs="Times New Roman" w:eastAsia="Times New Roman" w:hAnsi="Times New Roman"/>
          <w:sz w:val="14"/>
          <w:szCs w:val="14"/>
          <w:color w:val="auto"/>
        </w:rPr>
        <w:t>” means April 18, 2025.</w:t>
      </w:r>
    </w:p>
    <w:p>
      <w:pPr>
        <w:spacing w:after="0" w:line="3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Fraudulent Transfer Laws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12.14</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Fronting Exposure</w:t>
      </w:r>
      <w:r>
        <w:rPr>
          <w:rFonts w:ascii="Times New Roman" w:cs="Times New Roman" w:eastAsia="Times New Roman" w:hAnsi="Times New Roman"/>
          <w:sz w:val="14"/>
          <w:szCs w:val="14"/>
          <w:color w:val="auto"/>
        </w:rPr>
        <w:t>” means, at any time there is a Defaulting Lender, (a) with respect to L/C Issuer, such Defaulting Lender’s Applicable Percentage of the Outstanding Amount of the L/C Obligations other than L/C Obligations as to which such Defaulting Lender’s participation obligation has been reallocated to other Lenders or Cash Collateralized in accordance with the terms hereof, and (b) with respect to Swing Line Lender, such Defaulting Lender’s Applicable Percentage of the Outstanding Amount of Swing Line Loans other than Swing Line Loans as to which such Defaulting Lender’s participation obligation has been reallocated to other Lenders in accordance with the terms hereof.</w:t>
      </w:r>
    </w:p>
    <w:p>
      <w:pPr>
        <w:spacing w:after="0" w:line="2" w:lineRule="exact"/>
        <w:rPr>
          <w:sz w:val="20"/>
          <w:szCs w:val="20"/>
          <w:color w:val="auto"/>
        </w:rPr>
      </w:pPr>
    </w:p>
    <w:p>
      <w:pPr>
        <w:jc w:val="both"/>
        <w:ind w:left="8" w:right="20" w:firstLine="43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Fund</w:t>
      </w:r>
      <w:r>
        <w:rPr>
          <w:rFonts w:ascii="Times New Roman" w:cs="Times New Roman" w:eastAsia="Times New Roman" w:hAnsi="Times New Roman"/>
          <w:sz w:val="14"/>
          <w:szCs w:val="14"/>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Funded Debt</w:t>
      </w:r>
      <w:r>
        <w:rPr>
          <w:rFonts w:ascii="Times New Roman" w:cs="Times New Roman" w:eastAsia="Times New Roman" w:hAnsi="Times New Roman"/>
          <w:sz w:val="14"/>
          <w:szCs w:val="14"/>
          <w:color w:val="auto"/>
        </w:rPr>
        <w:t xml:space="preserve">” means, as of any date of determination, the aggregate amount of all Debt of Holdings and its Subsidiaries, on a consolidated basis in accordance with GAAP, (a) of the type described in </w:t>
      </w:r>
      <w:r>
        <w:rPr>
          <w:rFonts w:ascii="Times New Roman" w:cs="Times New Roman" w:eastAsia="Times New Roman" w:hAnsi="Times New Roman"/>
          <w:sz w:val="14"/>
          <w:szCs w:val="14"/>
          <w:b w:val="1"/>
          <w:bCs w:val="1"/>
          <w:i w:val="1"/>
          <w:iCs w:val="1"/>
          <w:color w:val="auto"/>
        </w:rPr>
        <w:t>clauses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(j)</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(l)</w:t>
      </w:r>
      <w:r>
        <w:rPr>
          <w:rFonts w:ascii="Times New Roman" w:cs="Times New Roman" w:eastAsia="Times New Roman" w:hAnsi="Times New Roman"/>
          <w:sz w:val="14"/>
          <w:szCs w:val="14"/>
          <w:color w:val="auto"/>
        </w:rPr>
        <w:t xml:space="preserve"> (to the extent such amounts have been drawn or funded and not reimbursed), or </w:t>
      </w:r>
      <w:r>
        <w:rPr>
          <w:rFonts w:ascii="Times New Roman" w:cs="Times New Roman" w:eastAsia="Times New Roman" w:hAnsi="Times New Roman"/>
          <w:sz w:val="14"/>
          <w:szCs w:val="14"/>
          <w:b w:val="1"/>
          <w:bCs w:val="1"/>
          <w:i w:val="1"/>
          <w:iCs w:val="1"/>
          <w:color w:val="auto"/>
        </w:rPr>
        <w:t>(o)</w:t>
      </w:r>
      <w:r>
        <w:rPr>
          <w:rFonts w:ascii="Times New Roman" w:cs="Times New Roman" w:eastAsia="Times New Roman" w:hAnsi="Times New Roman"/>
          <w:sz w:val="14"/>
          <w:szCs w:val="14"/>
          <w:color w:val="auto"/>
        </w:rPr>
        <w:t xml:space="preserve">, of the definition thereof or (b) of the type described in </w:t>
      </w:r>
      <w:r>
        <w:rPr>
          <w:rFonts w:ascii="Times New Roman" w:cs="Times New Roman" w:eastAsia="Times New Roman" w:hAnsi="Times New Roman"/>
          <w:sz w:val="14"/>
          <w:szCs w:val="14"/>
          <w:b w:val="1"/>
          <w:bCs w:val="1"/>
          <w:i w:val="1"/>
          <w:iCs w:val="1"/>
          <w:color w:val="auto"/>
        </w:rPr>
        <w:t>clauses</w:t>
      </w:r>
    </w:p>
    <w:p>
      <w:pPr>
        <w:spacing w:after="0" w:line="1" w:lineRule="exact"/>
        <w:rPr>
          <w:sz w:val="20"/>
          <w:szCs w:val="20"/>
          <w:color w:val="auto"/>
        </w:rPr>
      </w:pPr>
    </w:p>
    <w:p>
      <w:pPr>
        <w:ind w:left="188" w:hanging="188"/>
        <w:spacing w:after="0"/>
        <w:tabs>
          <w:tab w:leader="none" w:pos="188" w:val="left"/>
        </w:tabs>
        <w:numPr>
          <w:ilvl w:val="0"/>
          <w:numId w:val="8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or </w:t>
      </w:r>
      <w:r>
        <w:rPr>
          <w:rFonts w:ascii="Times New Roman" w:cs="Times New Roman" w:eastAsia="Times New Roman" w:hAnsi="Times New Roman"/>
          <w:sz w:val="14"/>
          <w:szCs w:val="14"/>
          <w:b w:val="1"/>
          <w:bCs w:val="1"/>
          <w:i w:val="1"/>
          <w:iCs w:val="1"/>
          <w:color w:val="auto"/>
        </w:rPr>
        <w:t>(f)</w:t>
      </w:r>
      <w:r>
        <w:rPr>
          <w:rFonts w:ascii="Times New Roman" w:cs="Times New Roman" w:eastAsia="Times New Roman" w:hAnsi="Times New Roman"/>
          <w:sz w:val="14"/>
          <w:szCs w:val="14"/>
          <w:color w:val="auto"/>
        </w:rPr>
        <w:t xml:space="preserve"> of the definition thereof to the extent in respect of the Debt described in the foregoing </w:t>
      </w:r>
      <w:r>
        <w:rPr>
          <w:rFonts w:ascii="Times New Roman" w:cs="Times New Roman" w:eastAsia="Times New Roman" w:hAnsi="Times New Roman"/>
          <w:sz w:val="14"/>
          <w:szCs w:val="14"/>
          <w:b w:val="1"/>
          <w:bCs w:val="1"/>
          <w:i w:val="1"/>
          <w:iCs w:val="1"/>
          <w:color w:val="auto"/>
        </w:rPr>
        <w:t>clause (a)</w:t>
      </w:r>
      <w:r>
        <w:rPr>
          <w:rFonts w:ascii="Times New Roman" w:cs="Times New Roman" w:eastAsia="Times New Roman" w:hAnsi="Times New Roman"/>
          <w:sz w:val="14"/>
          <w:szCs w:val="14"/>
          <w:color w:val="auto"/>
        </w:rPr>
        <w:t>, in each case, excluding non-cash obligations under ASC 815.</w:t>
      </w:r>
    </w:p>
    <w:p>
      <w:pPr>
        <w:spacing w:after="0" w:line="17" w:lineRule="exact"/>
        <w:rPr>
          <w:sz w:val="20"/>
          <w:szCs w:val="20"/>
          <w:color w:val="auto"/>
        </w:rPr>
      </w:pPr>
    </w:p>
    <w:p>
      <w:pPr>
        <w:ind w:left="8" w:firstLine="432"/>
        <w:spacing w:after="0" w:line="28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GAAP</w:t>
      </w:r>
      <w:r>
        <w:rPr>
          <w:rFonts w:ascii="Times New Roman" w:cs="Times New Roman" w:eastAsia="Times New Roman" w:hAnsi="Times New Roman"/>
          <w:sz w:val="14"/>
          <w:szCs w:val="14"/>
          <w:color w:val="auto"/>
        </w:rPr>
        <w:t>” means generally accepted accounting principles, applied on a consistent basis, as set forth in opinions of the Accounting Principles Board of the American Institute of Certified Public Accountants and/or in statements of the Financial Accounting Standards Board and/or their respective successors and</w:t>
      </w:r>
    </w:p>
    <w:p>
      <w:pPr>
        <w:spacing w:after="0" w:line="35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308"/>
          </w:cols>
          <w:pgMar w:left="292" w:top="287" w:right="299" w:bottom="1440" w:gutter="0" w:footer="0" w:header="0"/>
        </w:sectPr>
      </w:pPr>
    </w:p>
    <w:bookmarkStart w:id="110" w:name="page111"/>
    <w:bookmarkEnd w:id="110"/>
    <w:p>
      <w:pPr>
        <w:ind w:left="1068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which are applicable in the circumstances as of the date in question. Accounting principles are applied on a “consistent basis” when the accounting principles applied in a current period are comparable in all material respects to those accounting principles applied in a preceding period.</w:t>
      </w: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Governmental Authority</w:t>
      </w:r>
      <w:r>
        <w:rPr>
          <w:rFonts w:ascii="Times New Roman" w:cs="Times New Roman" w:eastAsia="Times New Roman" w:hAnsi="Times New Roman"/>
          <w:sz w:val="14"/>
          <w:szCs w:val="14"/>
          <w:color w:val="auto"/>
        </w:rPr>
        <w:t>” means the government of the United States of America or any other nation, or of any political subdivision thereof, whether state or local, and any agency, authority, instrumentality, regulatory body, court, central bank, tribal body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2"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Guarantee</w:t>
      </w:r>
      <w:r>
        <w:rPr>
          <w:rFonts w:ascii="Times New Roman" w:cs="Times New Roman" w:eastAsia="Times New Roman" w:hAnsi="Times New Roman"/>
          <w:sz w:val="14"/>
          <w:szCs w:val="14"/>
          <w:color w:val="auto"/>
        </w:rPr>
        <w:t xml:space="preserve">” by any Person means any obligation or liability, contingent or otherwise, of such Person directly or indirectly guaranteeing any Debt or other obligation of any other Person as well as any obligation or liability, direct or indirect, contingent or otherwise, of such Person (a) to purchase or pay (or advance or supply funds for the purchase or payment of) such Debt or other obligation or liability (whether arising by virtue of partnership arrangements, by agreement to keep-well, to purchase assets, goods, securities or services, to operate Property, to take-or-pay, or to maintain net worth or working capital or other financial statement conditions or otherwise) or (b) entered into for the purpose of indemnifying or assuring in any other manner the obligee of such Debt or other obligation or liability of the payment thereof or to protect the obligee against loss in respect thereof (in whole or in part);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term Guarantee shall not include endorsements for collection or deposit in the ordinary course of business. The terms “</w:t>
      </w:r>
      <w:r>
        <w:rPr>
          <w:rFonts w:ascii="Times New Roman" w:cs="Times New Roman" w:eastAsia="Times New Roman" w:hAnsi="Times New Roman"/>
          <w:sz w:val="14"/>
          <w:szCs w:val="14"/>
          <w:b w:val="1"/>
          <w:bCs w:val="1"/>
          <w:i w:val="1"/>
          <w:iCs w:val="1"/>
          <w:color w:val="auto"/>
        </w:rPr>
        <w:t>Guarantee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i w:val="1"/>
          <w:iCs w:val="1"/>
          <w:color w:val="auto"/>
        </w:rPr>
        <w:t>Guaranteed</w:t>
      </w:r>
      <w:r>
        <w:rPr>
          <w:rFonts w:ascii="Times New Roman" w:cs="Times New Roman" w:eastAsia="Times New Roman" w:hAnsi="Times New Roman"/>
          <w:sz w:val="14"/>
          <w:szCs w:val="14"/>
          <w:color w:val="auto"/>
        </w:rPr>
        <w:t>” used as a verb have a corresponding meaning.</w:t>
      </w:r>
    </w:p>
    <w:p>
      <w:pPr>
        <w:spacing w:after="0" w:line="2"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Guarantors</w:t>
      </w:r>
      <w:r>
        <w:rPr>
          <w:rFonts w:ascii="Times New Roman" w:cs="Times New Roman" w:eastAsia="Times New Roman" w:hAnsi="Times New Roman"/>
          <w:sz w:val="14"/>
          <w:szCs w:val="14"/>
          <w:color w:val="auto"/>
        </w:rPr>
        <w:t>” means, collectively, (a) each of the Borrowers with respect to the Obligations under any Bank Product Agreement to the extent that each such Borrower is not the primary obligor with respect thereto, (b) NGSG Properties, LLC, a Colorado limited liability company, and any other wholly-owned Subsidiary of Holdings (other than any Borrower and any Excluded Subsidiary) and (c) each Person who from time to time Guarantees all or any part of the Obligations under the Loan Documents, including any Person who becomes a party to this Agreement pursuant to a Joinder Agreement.</w:t>
      </w:r>
    </w:p>
    <w:p>
      <w:pPr>
        <w:spacing w:after="0" w:line="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Guaranty</w:t>
      </w:r>
      <w:r>
        <w:rPr>
          <w:rFonts w:ascii="Times New Roman" w:cs="Times New Roman" w:eastAsia="Times New Roman" w:hAnsi="Times New Roman"/>
          <w:sz w:val="14"/>
          <w:szCs w:val="14"/>
          <w:color w:val="auto"/>
        </w:rPr>
        <w:t xml:space="preserve">” means, collectively, the guaranty made by the Loan Parties party to this Agreement pursuant to </w:t>
      </w:r>
      <w:r>
        <w:rPr>
          <w:rFonts w:ascii="Times New Roman" w:cs="Times New Roman" w:eastAsia="Times New Roman" w:hAnsi="Times New Roman"/>
          <w:sz w:val="14"/>
          <w:szCs w:val="14"/>
          <w:b w:val="1"/>
          <w:bCs w:val="1"/>
          <w:i w:val="1"/>
          <w:iCs w:val="1"/>
          <w:color w:val="auto"/>
        </w:rPr>
        <w:t>Article 12</w:t>
      </w:r>
      <w:r>
        <w:rPr>
          <w:rFonts w:ascii="Times New Roman" w:cs="Times New Roman" w:eastAsia="Times New Roman" w:hAnsi="Times New Roman"/>
          <w:sz w:val="14"/>
          <w:szCs w:val="14"/>
          <w:color w:val="auto"/>
        </w:rPr>
        <w:t xml:space="preserve"> and each other written guaranty executed by one or more of the other Guarantors in favor of Administrative Agent, for the benefit of Secured Parties, in form and substance satisfactory to Administrative Agent.</w:t>
      </w:r>
    </w:p>
    <w:p>
      <w:pPr>
        <w:spacing w:after="0" w:line="1"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Hazardous Material</w:t>
      </w:r>
      <w:r>
        <w:rPr>
          <w:rFonts w:ascii="Times New Roman" w:cs="Times New Roman" w:eastAsia="Times New Roman" w:hAnsi="Times New Roman"/>
          <w:sz w:val="14"/>
          <w:szCs w:val="14"/>
          <w:color w:val="auto"/>
        </w:rPr>
        <w:t>” means any substance, product, waste, pollutant, material, chemical, contaminant, constituent, or other material which is or becomes listed, regulated, or addressed under any Environmental Law, including, without limitation, any petroleum and petroleum byproducts, natural gas, natural gas liquids, liquefied natural gas or synthetic gas usable for fuel (or mixture of natural gas and such synthetic gas), polychlorinated biphenyls, lead and lead-based paint, radon, radioactive materials, flammables and explosives, and mold. “Hazardous Material” shall include, without limitation, any hazardous or toxic substance, material or waste or any chemical, element, compound or mixture which is: (i) asbestos and asbestos-containing materials; (ii) designated as a “pollutant” or “toxic pollutant” pursuant to the Federal Water Pollution Control Act (33 U.S.C. Paragraph 1251 et seq.); (iii) defined as a “solid or hazardous waste” pursuant to the Federal Resource Conservation and Recovery Act (42 U.S.C. Paragraph 6901 et seq.); (iv) defined as “hazardous substances” pursuant to the Comprehensive Environmental Response, Compensation and Liability Act (42 U.S.C. Paragraph 9601 et seq.); (v) listed in the United States Department of Transportation Table (49 CFR 172.101) or by the Environmental Protection Agency as hazardous substances (40 CFR part 302); (vi) chemicals, elements, compounds, mixtures, substances, materials or wastes otherwise regulated under any applicable federal, state or local Environmental Laws; (vii) polychlorinated biphenyls; (viii) “pesticides” as defined in the Federal Insecticide, Fungicide, and Rodenticide Act, 7 U.S.C. §§ 136 et seq.; (ix) “contaminant” as defined in the Safe Drinking Water Act, 42 U.S.C. §§ 300f et seq.; (x) “extremely hazardous substances” as defined in the Emergency Planning</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300"/>
          </w:cols>
          <w:pgMar w:left="300" w:top="287" w:right="29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4"/>
          <w:szCs w:val="14"/>
          <w:color w:val="auto"/>
        </w:rPr>
        <w:t>and Community Right to Know Act, 42 U.S.C. §§ 11001 et seq.; (xi) “hazardous materials” as defined in the Hazardous Materials Transportation Act, 49 U.S.C. §§ 5101 et seq.; (xii) “hazardous air pollutants” as defined in the Clean Air Act, 42 U.S.C. §§ 7401 et seq.; and (xiii) “oil” as defined in the Oil Pollution Act of 1990, 33 U.S.C. §§ 2701 et seq.</w:t>
      </w:r>
    </w:p>
    <w:p>
      <w:pPr>
        <w:jc w:val="both"/>
        <w:ind w:firstLine="432"/>
        <w:spacing w:after="0" w:line="24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Hedge Agreement</w:t>
      </w:r>
      <w:r>
        <w:rPr>
          <w:rFonts w:ascii="Times New Roman" w:cs="Times New Roman" w:eastAsia="Times New Roman" w:hAnsi="Times New Roman"/>
          <w:sz w:val="14"/>
          <w:szCs w:val="14"/>
          <w:color w:val="auto"/>
        </w:rPr>
        <w:t>” means (a) any and all interest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and annexes, a “</w:t>
      </w:r>
      <w:r>
        <w:rPr>
          <w:rFonts w:ascii="Times New Roman" w:cs="Times New Roman" w:eastAsia="Times New Roman" w:hAnsi="Times New Roman"/>
          <w:sz w:val="14"/>
          <w:szCs w:val="14"/>
          <w:b w:val="1"/>
          <w:bCs w:val="1"/>
          <w:i w:val="1"/>
          <w:iCs w:val="1"/>
          <w:color w:val="auto"/>
        </w:rPr>
        <w:t>Master Agreement</w:t>
      </w:r>
      <w:r>
        <w:rPr>
          <w:rFonts w:ascii="Times New Roman" w:cs="Times New Roman" w:eastAsia="Times New Roman" w:hAnsi="Times New Roman"/>
          <w:sz w:val="14"/>
          <w:szCs w:val="14"/>
          <w:color w:val="auto"/>
        </w:rPr>
        <w:t>”), (c) any and all Master Agreements and any and all related confirmations and (d) any other agreement, contract or transaction that constitutes a “swap” within the meaning of Section 1a(47) of the Commodity Exchange Act.</w:t>
      </w:r>
    </w:p>
    <w:p>
      <w:pPr>
        <w:spacing w:after="0" w:line="3"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Hedge Obligations</w:t>
      </w:r>
      <w:r>
        <w:rPr>
          <w:rFonts w:ascii="Times New Roman" w:cs="Times New Roman" w:eastAsia="Times New Roman" w:hAnsi="Times New Roman"/>
          <w:sz w:val="14"/>
          <w:szCs w:val="14"/>
          <w:color w:val="auto"/>
        </w:rPr>
        <w:t>” means, at any time with respect to any Person, all indebtedness, liabilities, and obligations of such Person under or in connection with any Hedge Agreement, whether actual or contingent, due or to become due and existing or arising from time to time.</w:t>
      </w:r>
    </w:p>
    <w:p>
      <w:pPr>
        <w:jc w:val="both"/>
        <w:ind w:firstLine="432"/>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Hedge Termination Value</w:t>
      </w:r>
      <w:r>
        <w:rPr>
          <w:rFonts w:ascii="Times New Roman" w:cs="Times New Roman" w:eastAsia="Times New Roman" w:hAnsi="Times New Roman"/>
          <w:sz w:val="14"/>
          <w:szCs w:val="14"/>
          <w:color w:val="auto"/>
        </w:rPr>
        <w:t xml:space="preserve">” means, in respect of any one or more Hedge Agreements, after taking into account the effect of any legally enforceable netting agreement relating to such Hedge Agreements, (a) for any date on or after the date such Hedge Agreements have been closed out and settlement amounts, early termination amounts or termination value(s) determined in accordance therewith, such settlement amounts, early termination amounts or termination value(s), and (b) for any date prior to the date referenced in </w:t>
      </w:r>
      <w:r>
        <w:rPr>
          <w:rFonts w:ascii="Times New Roman" w:cs="Times New Roman" w:eastAsia="Times New Roman" w:hAnsi="Times New Roman"/>
          <w:sz w:val="14"/>
          <w:szCs w:val="14"/>
          <w:b w:val="1"/>
          <w:bCs w:val="1"/>
          <w:i w:val="1"/>
          <w:iCs w:val="1"/>
          <w:color w:val="auto"/>
        </w:rPr>
        <w:t>clause (a)</w:t>
      </w:r>
      <w:r>
        <w:rPr>
          <w:rFonts w:ascii="Times New Roman" w:cs="Times New Roman" w:eastAsia="Times New Roman" w:hAnsi="Times New Roman"/>
          <w:sz w:val="14"/>
          <w:szCs w:val="14"/>
          <w:color w:val="auto"/>
        </w:rPr>
        <w:t>, the amount(s) determined as the mark-to-market value(s) for such Hedge Agreements, as determined based upon one or more commercially reasonable mid-market or other readily available quotations provided by any dealer which is a party to such Hedge Agreement or any other recognized dealer in such Hedge Agreements (which may include a Lender or any Affiliate of a Lender).</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Holdings</w:t>
      </w:r>
      <w:r>
        <w:rPr>
          <w:rFonts w:ascii="Times New Roman" w:cs="Times New Roman" w:eastAsia="Times New Roman" w:hAnsi="Times New Roman"/>
          <w:sz w:val="14"/>
          <w:szCs w:val="14"/>
          <w:color w:val="auto"/>
        </w:rPr>
        <w:t>” has the meaning set forth in the introductory paragraph hereto.</w:t>
      </w:r>
    </w:p>
    <w:p>
      <w:pPr>
        <w:spacing w:after="0" w:line="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Honor Date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2.2(c)(i)</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Increase Effective Date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2.10(c)</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Indemnified Taxes</w:t>
      </w:r>
      <w:r>
        <w:rPr>
          <w:rFonts w:ascii="Times New Roman" w:cs="Times New Roman" w:eastAsia="Times New Roman" w:hAnsi="Times New Roman"/>
          <w:sz w:val="14"/>
          <w:szCs w:val="14"/>
          <w:color w:val="auto"/>
        </w:rPr>
        <w:t xml:space="preserve">” means (a) Taxes, other than Excluded Taxes, imposed on or with respect to any payment made by or on account of any obligation of Borrowers or any other Loan Party under any Loan Document and (b) to the extent not otherwise described in </w:t>
      </w:r>
      <w:r>
        <w:rPr>
          <w:rFonts w:ascii="Times New Roman" w:cs="Times New Roman" w:eastAsia="Times New Roman" w:hAnsi="Times New Roman"/>
          <w:sz w:val="14"/>
          <w:szCs w:val="14"/>
          <w:b w:val="1"/>
          <w:bCs w:val="1"/>
          <w:i w:val="1"/>
          <w:iCs w:val="1"/>
          <w:color w:val="auto"/>
        </w:rPr>
        <w:t>clause (a)</w:t>
      </w:r>
      <w:r>
        <w:rPr>
          <w:rFonts w:ascii="Times New Roman" w:cs="Times New Roman" w:eastAsia="Times New Roman" w:hAnsi="Times New Roman"/>
          <w:sz w:val="14"/>
          <w:szCs w:val="14"/>
          <w:color w:val="auto"/>
        </w:rPr>
        <w:t>, Other Taxes.</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Information</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11.25</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Intellectual Property</w:t>
      </w:r>
      <w:r>
        <w:rPr>
          <w:rFonts w:ascii="Times New Roman" w:cs="Times New Roman" w:eastAsia="Times New Roman" w:hAnsi="Times New Roman"/>
          <w:sz w:val="14"/>
          <w:szCs w:val="14"/>
          <w:color w:val="auto"/>
        </w:rPr>
        <w:t>” means all copyrights, copyrightable works, patents, patent applications, trademarks, service marks, trade names, brand names, trade dress, slogans, logos and internet domain names and uniform resource locators, and the goodwill associated with any of the foregoing, and other types of intellectual or industrial property rights and foreign equivalent or counterpart rights and forms of protection of a similar or analogous nature to any of the foregoing or having similar effect in any jurisdiction throughout the world, and registrations and applications for registration of any of the foregoing, and all documentation and embodiments of the foregoing, in whatever form, now owned or hereafter acquired.</w:t>
      </w:r>
    </w:p>
    <w:p>
      <w:pPr>
        <w:spacing w:after="0" w:line="2"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Interest Period</w:t>
      </w:r>
      <w:r>
        <w:rPr>
          <w:rFonts w:ascii="Times New Roman" w:cs="Times New Roman" w:eastAsia="Times New Roman" w:hAnsi="Times New Roman"/>
          <w:sz w:val="14"/>
          <w:szCs w:val="14"/>
          <w:color w:val="auto"/>
        </w:rPr>
        <w:t>” means with respect to any Term SOFR Loan, the period commencing on the date such Loan becomes a Term SOFR Loan (whether by the making of a Loan or its continuation or conversion) and ending on the numerically corresponding day in the fiscal month that is one (1),three (3) or six (6) months thereafter (in each case subject to the availability of Term SOFR for such period), as the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300"/>
          </w:cols>
          <w:pgMar w:left="300" w:top="287" w:right="299" w:bottom="1440" w:gutter="0" w:footer="0" w:header="0"/>
        </w:sectPr>
      </w:pPr>
    </w:p>
    <w:bookmarkStart w:id="112" w:name="page113"/>
    <w:bookmarkEnd w:id="112"/>
    <w:p>
      <w:pPr>
        <w:ind w:left="1068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 xml:space="preserve">Borrower Representative may elect;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if any Interest Period would end on a day other than a Business Day, such Interest Period shall be extended to the next succeeding Business Day unless such next succeeding Business Day would fall in the next fiscal month, in which case such Interest Period shall end on the next preceding Business Day, (b) any Interest Period pertaining to a Term SOFR Loan that commences on the last Business Day of a fiscal month (or on a day for which there is no numerically corresponding day in the last fiscal month of such Interest Period) shall end on the last Business Day of the last fiscal month of such Interest Period and (c) no tenor that has been removed from this definition pursuant to </w:t>
      </w:r>
      <w:r>
        <w:rPr>
          <w:rFonts w:ascii="Times New Roman" w:cs="Times New Roman" w:eastAsia="Times New Roman" w:hAnsi="Times New Roman"/>
          <w:sz w:val="14"/>
          <w:szCs w:val="14"/>
          <w:b w:val="1"/>
          <w:bCs w:val="1"/>
          <w:i w:val="1"/>
          <w:iCs w:val="1"/>
          <w:color w:val="auto"/>
        </w:rPr>
        <w:t>Section 3.3(b)(iv)</w:t>
      </w:r>
      <w:r>
        <w:rPr>
          <w:rFonts w:ascii="Times New Roman" w:cs="Times New Roman" w:eastAsia="Times New Roman" w:hAnsi="Times New Roman"/>
          <w:sz w:val="14"/>
          <w:szCs w:val="14"/>
          <w:color w:val="auto"/>
        </w:rPr>
        <w:t xml:space="preserve"> and not thereafter reinstated pursuant to such Section shall be available for specification in any Borrowing Request or notice of continuation or conversion thereof.</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Inventory</w:t>
      </w:r>
      <w:r>
        <w:rPr>
          <w:rFonts w:ascii="Times New Roman" w:cs="Times New Roman" w:eastAsia="Times New Roman" w:hAnsi="Times New Roman"/>
          <w:sz w:val="14"/>
          <w:szCs w:val="14"/>
          <w:color w:val="auto"/>
        </w:rPr>
        <w:t>” means inventory, as defined in the UCC.</w:t>
      </w:r>
    </w:p>
    <w:p>
      <w:pPr>
        <w:spacing w:after="0" w:line="3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Investment Grade Account Debtor</w:t>
      </w:r>
      <w:r>
        <w:rPr>
          <w:rFonts w:ascii="Times New Roman" w:cs="Times New Roman" w:eastAsia="Times New Roman" w:hAnsi="Times New Roman"/>
          <w:sz w:val="14"/>
          <w:szCs w:val="14"/>
          <w:color w:val="auto"/>
        </w:rPr>
        <w:t>” means, any account debtor whose securities are rated BBB- (or then equivalent grade) or higher by S&amp;P or Baa3 (or then equivalent grade) or higher by Moody’s, or whose credit rating or credit quality has the characteristics of an Investment Grade Account Debtor as determined by Administrative Agent in its sole discretion.</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IRS</w:t>
      </w:r>
      <w:r>
        <w:rPr>
          <w:rFonts w:ascii="Times New Roman" w:cs="Times New Roman" w:eastAsia="Times New Roman" w:hAnsi="Times New Roman"/>
          <w:sz w:val="14"/>
          <w:szCs w:val="14"/>
          <w:color w:val="auto"/>
        </w:rPr>
        <w:t>” means the Internal Revenue Service or any entity succeeding to all or any of its functions.</w:t>
      </w:r>
    </w:p>
    <w:p>
      <w:pPr>
        <w:spacing w:after="0" w:line="3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ISDA Definitions</w:t>
      </w:r>
      <w:r>
        <w:rPr>
          <w:rFonts w:ascii="Times New Roman" w:cs="Times New Roman" w:eastAsia="Times New Roman" w:hAnsi="Times New Roman"/>
          <w:sz w:val="14"/>
          <w:szCs w:val="14"/>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ISP</w:t>
      </w:r>
      <w:r>
        <w:rPr>
          <w:rFonts w:ascii="Times New Roman" w:cs="Times New Roman" w:eastAsia="Times New Roman" w:hAnsi="Times New Roman"/>
          <w:sz w:val="14"/>
          <w:szCs w:val="14"/>
          <w:color w:val="auto"/>
        </w:rPr>
        <w:t>” means, with respect to any Letter of Credit, the “International Standby Practices 1998” published by the Institute of International Banking Law &amp; Practice, Inc. (or such later version thereof as may be in effect at the time of issuance).</w:t>
      </w: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Issuer Documents</w:t>
      </w:r>
      <w:r>
        <w:rPr>
          <w:rFonts w:ascii="Times New Roman" w:cs="Times New Roman" w:eastAsia="Times New Roman" w:hAnsi="Times New Roman"/>
          <w:sz w:val="14"/>
          <w:szCs w:val="14"/>
          <w:color w:val="auto"/>
        </w:rPr>
        <w:t>” means, with respect to any Letter of Credit, (a) the Letter of Credit Application, and any other document, agreement and instrument entered into by L/C Issuer and any Borrower or in favor of L/C Issuer and relating to such Letter of Credit and (b) all “Issuer Documents” (as defined in the Existing Credit Agreement).</w:t>
      </w:r>
    </w:p>
    <w:p>
      <w:pPr>
        <w:ind w:left="4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Joinder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means a Joinder Agreement in the form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Exhibit 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hereto.</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L/C Advance</w:t>
      </w:r>
      <w:r>
        <w:rPr>
          <w:rFonts w:ascii="Times New Roman" w:cs="Times New Roman" w:eastAsia="Times New Roman" w:hAnsi="Times New Roman"/>
          <w:sz w:val="14"/>
          <w:szCs w:val="14"/>
          <w:color w:val="auto"/>
        </w:rPr>
        <w:t>” means, with respect to each Lender, such Lender’s funding of its participation in any L/C Borrowing in accordance with its Applicable Percentage.</w:t>
      </w:r>
    </w:p>
    <w:p>
      <w:pPr>
        <w:spacing w:after="0" w:line="31"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L/C Borrowing</w:t>
      </w:r>
      <w:r>
        <w:rPr>
          <w:rFonts w:ascii="Times New Roman" w:cs="Times New Roman" w:eastAsia="Times New Roman" w:hAnsi="Times New Roman"/>
          <w:sz w:val="14"/>
          <w:szCs w:val="14"/>
          <w:color w:val="auto"/>
        </w:rPr>
        <w:t>” means an extension of credit resulting from a drawing under any Letter of Credit which has not been reimbursed by Borrowers on the date when made or refinanced as a Revolving Credit Borrowing.</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L/C Credit Extension</w:t>
      </w:r>
      <w:r>
        <w:rPr>
          <w:rFonts w:ascii="Times New Roman" w:cs="Times New Roman" w:eastAsia="Times New Roman" w:hAnsi="Times New Roman"/>
          <w:sz w:val="14"/>
          <w:szCs w:val="14"/>
          <w:color w:val="auto"/>
        </w:rPr>
        <w:t>” means, with respect to any Letter of Credit, the issuance thereof or extension of the expiry date thereof, or the increase of the amount thereof.</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L/C Issuer</w:t>
      </w:r>
      <w:r>
        <w:rPr>
          <w:rFonts w:ascii="Times New Roman" w:cs="Times New Roman" w:eastAsia="Times New Roman" w:hAnsi="Times New Roman"/>
          <w:sz w:val="14"/>
          <w:szCs w:val="14"/>
          <w:color w:val="auto"/>
        </w:rPr>
        <w:t>” means Texas Capital Bank in its capacity as issuer of Letters of Credit hereunder, or any successor issuer of Letters of Credit hereunder.</w:t>
      </w:r>
    </w:p>
    <w:p>
      <w:pPr>
        <w:spacing w:after="0" w:line="3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L/C Obligations</w:t>
      </w:r>
      <w:r>
        <w:rPr>
          <w:rFonts w:ascii="Times New Roman" w:cs="Times New Roman" w:eastAsia="Times New Roman" w:hAnsi="Times New Roman"/>
          <w:sz w:val="14"/>
          <w:szCs w:val="14"/>
          <w:color w:val="auto"/>
        </w:rPr>
        <w:t xml:space="preserve">” means, as of any date of determination, without duplication,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14"/>
          <w:szCs w:val="14"/>
          <w:b w:val="1"/>
          <w:bCs w:val="1"/>
          <w:i w:val="1"/>
          <w:iCs w:val="1"/>
          <w:color w:val="auto"/>
        </w:rPr>
        <w:t>Section 1.4</w:t>
      </w:r>
      <w:r>
        <w:rPr>
          <w:rFonts w:ascii="Times New Roman" w:cs="Times New Roman" w:eastAsia="Times New Roman" w:hAnsi="Times New Roman"/>
          <w:sz w:val="14"/>
          <w:szCs w:val="14"/>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Laws</w:t>
      </w:r>
      <w:r>
        <w:rPr>
          <w:rFonts w:ascii="Times New Roman" w:cs="Times New Roman" w:eastAsia="Times New Roman" w:hAnsi="Times New Roman"/>
          <w:sz w:val="14"/>
          <w:szCs w:val="14"/>
          <w:color w:val="auto"/>
        </w:rPr>
        <w:t>” means, collectively, all international, foreign, federal, state, provincial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300"/>
          </w:cols>
          <w:pgMar w:left="300" w:top="287" w:right="29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directed duties, requests, licenses, authorizations and permits of, and agreements with, any Governmental Authority, in each case whether or not having the force of law.</w:t>
      </w:r>
    </w:p>
    <w:p>
      <w:pPr>
        <w:spacing w:after="0" w:line="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Lease</w:t>
      </w:r>
      <w:r>
        <w:rPr>
          <w:rFonts w:ascii="Times New Roman" w:cs="Times New Roman" w:eastAsia="Times New Roman" w:hAnsi="Times New Roman"/>
          <w:sz w:val="14"/>
          <w:szCs w:val="14"/>
          <w:color w:val="auto"/>
        </w:rPr>
        <w:t>” of any Person means all of the right, title and interest of such Person as lessee or licensee in, to and under a lease or license of land, improvements and/or fixtures.</w:t>
      </w:r>
    </w:p>
    <w:p>
      <w:pPr>
        <w:spacing w:after="0" w:line="3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Lenders</w:t>
      </w:r>
      <w:r>
        <w:rPr>
          <w:rFonts w:ascii="Times New Roman" w:cs="Times New Roman" w:eastAsia="Times New Roman" w:hAnsi="Times New Roman"/>
          <w:sz w:val="14"/>
          <w:szCs w:val="14"/>
          <w:color w:val="auto"/>
        </w:rPr>
        <w:t>” means, (a) at any time prior to the termination of the Commitments, any Person that has a Commitment at such time, and (b) at any time after the termination of the Commitments, any Person that has Revolving Credit Exposure at such time. Unless the context otherwise requires, the term “Lenders” includes Swing Line Lender, L/C Issuer and their respective successors and assigns permitted hereunder.</w:t>
      </w:r>
    </w:p>
    <w:p>
      <w:pPr>
        <w:spacing w:after="0" w:line="1"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Lending Office</w:t>
      </w:r>
      <w:r>
        <w:rPr>
          <w:rFonts w:ascii="Times New Roman" w:cs="Times New Roman" w:eastAsia="Times New Roman" w:hAnsi="Times New Roman"/>
          <w:sz w:val="14"/>
          <w:szCs w:val="14"/>
          <w:color w:val="auto"/>
        </w:rPr>
        <w:t>” means, as to any Lender, the office or offices of such Lender described as such in such Lender’s Administrative Questionnaire, or such other office or offices as a Lender may from time to time notify the Borrower Representative and Administrative Agent.</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Letter of Credit</w:t>
      </w:r>
      <w:r>
        <w:rPr>
          <w:rFonts w:ascii="Times New Roman" w:cs="Times New Roman" w:eastAsia="Times New Roman" w:hAnsi="Times New Roman"/>
          <w:sz w:val="14"/>
          <w:szCs w:val="14"/>
          <w:color w:val="auto"/>
        </w:rPr>
        <w:t>” means any standby letter of credit issued hereunder providing for the payment of cash upon the honoring of a presentation thereunder and any Existing Letter of Credit.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Letter of Credit Application</w:t>
      </w:r>
      <w:r>
        <w:rPr>
          <w:rFonts w:ascii="Times New Roman" w:cs="Times New Roman" w:eastAsia="Times New Roman" w:hAnsi="Times New Roman"/>
          <w:sz w:val="14"/>
          <w:szCs w:val="14"/>
          <w:color w:val="auto"/>
        </w:rPr>
        <w:t>” means an application and agreement for the issuance or amendment of a Letter of Credit in the form from time to time in use by L/C Issuer.</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Letter of Credit Expiration Date</w:t>
      </w:r>
      <w:r>
        <w:rPr>
          <w:rFonts w:ascii="Times New Roman" w:cs="Times New Roman" w:eastAsia="Times New Roman" w:hAnsi="Times New Roman"/>
          <w:sz w:val="14"/>
          <w:szCs w:val="14"/>
          <w:color w:val="auto"/>
        </w:rPr>
        <w:t>” means the day that is seven (7) days prior to the Maturity Date (or, if such day is not a Business Day, the next preceding Business Day).</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Letter of Credit Fee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2.4(b)</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Letter of Credit Sublimit</w:t>
      </w:r>
      <w:r>
        <w:rPr>
          <w:rFonts w:ascii="Times New Roman" w:cs="Times New Roman" w:eastAsia="Times New Roman" w:hAnsi="Times New Roman"/>
          <w:sz w:val="14"/>
          <w:szCs w:val="14"/>
          <w:color w:val="auto"/>
        </w:rPr>
        <w:t>” means an amount equal to the lesser of (a) $15,000,000 and (b) the aggregate Commitments of the Lenders then in effect. The Letter of Credit Sublimit is part of, and not in addition to, the Commitments.</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Leverage Ratio</w:t>
      </w:r>
      <w:r>
        <w:rPr>
          <w:rFonts w:ascii="Times New Roman" w:cs="Times New Roman" w:eastAsia="Times New Roman" w:hAnsi="Times New Roman"/>
          <w:sz w:val="14"/>
          <w:szCs w:val="14"/>
          <w:color w:val="auto"/>
        </w:rPr>
        <w:t>” means, as of the last day of each fiscal quarter, the ratio of (i) all Funded Debt as of such date to (ii) Annualized EBITDA as of such date.</w:t>
      </w:r>
    </w:p>
    <w:p>
      <w:pPr>
        <w:spacing w:after="0" w:line="37"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Lien</w:t>
      </w:r>
      <w:r>
        <w:rPr>
          <w:rFonts w:ascii="Times New Roman" w:cs="Times New Roman" w:eastAsia="Times New Roman" w:hAnsi="Times New Roman"/>
          <w:sz w:val="14"/>
          <w:szCs w:val="14"/>
          <w:color w:val="auto"/>
        </w:rPr>
        <w:t>” means, as to any Property of any Person, (a) any lien, mortgage, security interest, tax lien, pledge, charge, hypothecation, collateral assignment, preference, priority, or other encumbrance of any kind or nature whatsoever (including, without limitation, any conditional sale or title retention agreement), whether arising by contract, operation of law, or otherwise, affecting such Property and (b) the signing or filing of a financing statement which names the Person as debtor or the signing of any security agreement or the signing of any document authorizing a secured party to file any financing statement which names such Person as debtor.</w:t>
      </w:r>
    </w:p>
    <w:p>
      <w:pPr>
        <w:spacing w:after="0" w:line="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Line Cap</w:t>
      </w:r>
      <w:r>
        <w:rPr>
          <w:rFonts w:ascii="Times New Roman" w:cs="Times New Roman" w:eastAsia="Times New Roman" w:hAnsi="Times New Roman"/>
          <w:sz w:val="14"/>
          <w:szCs w:val="14"/>
          <w:color w:val="auto"/>
        </w:rPr>
        <w:t xml:space="preserve">” means, as of any date of determination, the lesser of (a)(i) the aggregate amount of the Commitments of the Lenders on such date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(ii) Availability Reserves in effect on such date and (b) the Borrowing Base in effect on such date.</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Loan</w:t>
      </w:r>
      <w:r>
        <w:rPr>
          <w:rFonts w:ascii="Times New Roman" w:cs="Times New Roman" w:eastAsia="Times New Roman" w:hAnsi="Times New Roman"/>
          <w:sz w:val="14"/>
          <w:szCs w:val="14"/>
          <w:color w:val="auto"/>
        </w:rPr>
        <w:t xml:space="preserve">” means an extension of credit by a Lender to any Borrower under </w:t>
      </w:r>
      <w:r>
        <w:rPr>
          <w:rFonts w:ascii="Times New Roman" w:cs="Times New Roman" w:eastAsia="Times New Roman" w:hAnsi="Times New Roman"/>
          <w:sz w:val="14"/>
          <w:szCs w:val="14"/>
          <w:b w:val="1"/>
          <w:bCs w:val="1"/>
          <w:i w:val="1"/>
          <w:iCs w:val="1"/>
          <w:color w:val="auto"/>
        </w:rPr>
        <w:t>Article 2</w:t>
      </w:r>
      <w:r>
        <w:rPr>
          <w:rFonts w:ascii="Times New Roman" w:cs="Times New Roman" w:eastAsia="Times New Roman" w:hAnsi="Times New Roman"/>
          <w:sz w:val="14"/>
          <w:szCs w:val="14"/>
          <w:color w:val="auto"/>
        </w:rPr>
        <w:t xml:space="preserve"> in the form of a Revolving Credit Loan or a Swing Line Loan.</w:t>
      </w:r>
    </w:p>
    <w:p>
      <w:pPr>
        <w:spacing w:after="0" w:line="3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Loan Documents</w:t>
      </w:r>
      <w:r>
        <w:rPr>
          <w:rFonts w:ascii="Times New Roman" w:cs="Times New Roman" w:eastAsia="Times New Roman" w:hAnsi="Times New Roman"/>
          <w:sz w:val="14"/>
          <w:szCs w:val="14"/>
          <w:color w:val="auto"/>
        </w:rPr>
        <w:t xml:space="preserve">” means this Agreement, the First Amendment, the Second Amendment, the Third Amendment, the Fourth Amendment, the Fifth Amendment, each Guaranty, the Security Documents, the Notes, the Issuer Documents, each Fee Letter, and all other promissory notes, security agreements, deeds of trust, assignments, letters of credit, guaranties, and other instruments, documents, or agreements executed and delivered pursuant to or in connection with this Agreement or the Security Documents;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term “Loan Documents” shall not include any Bank Product Agreement.</w:t>
      </w:r>
    </w:p>
    <w:p>
      <w:pPr>
        <w:spacing w:after="0" w:line="2" w:lineRule="exact"/>
        <w:rPr>
          <w:sz w:val="20"/>
          <w:szCs w:val="20"/>
          <w:color w:val="auto"/>
        </w:rPr>
      </w:pPr>
    </w:p>
    <w:p>
      <w:pPr>
        <w:jc w:val="both"/>
        <w:ind w:right="20"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Loan Party</w:t>
      </w:r>
      <w:r>
        <w:rPr>
          <w:rFonts w:ascii="Times New Roman" w:cs="Times New Roman" w:eastAsia="Times New Roman" w:hAnsi="Times New Roman"/>
          <w:sz w:val="14"/>
          <w:szCs w:val="14"/>
          <w:color w:val="auto"/>
        </w:rPr>
        <w:t>” means each Borrower, each Guarantor or any other Person who is or becomes party to any agreement with any Secured Party that obligates such Person to pay or perform, or that Guarantees or secures payment or performance of, the Obligations under the Loan Documents or any part thereof. For the avoidance of doubt, no Excluded Subsidiary shall constitute a “Loan Party” for all purposes under this Agreement and the other Loan Documents.</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Master Agreement</w:t>
      </w:r>
      <w:r>
        <w:rPr>
          <w:rFonts w:ascii="Times New Roman" w:cs="Times New Roman" w:eastAsia="Times New Roman" w:hAnsi="Times New Roman"/>
          <w:sz w:val="14"/>
          <w:szCs w:val="14"/>
          <w:color w:val="auto"/>
        </w:rPr>
        <w:t>” has the meaning set forth in clause (b) of the definition of Hedge Agreement.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300"/>
          </w:cols>
          <w:pgMar w:left="300" w:top="287" w:right="29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Material Acquisition</w:t>
      </w:r>
      <w:r>
        <w:rPr>
          <w:rFonts w:ascii="Times New Roman" w:cs="Times New Roman" w:eastAsia="Times New Roman" w:hAnsi="Times New Roman"/>
          <w:sz w:val="14"/>
          <w:szCs w:val="14"/>
          <w:color w:val="auto"/>
        </w:rPr>
        <w:t>” means any acquisition, whether through a single transaction or a series of related transactions (including by way of merger or consolidation) of (a) a majority of the Equity Interests of a Person or other controlling ownership interests in another Person or (b) assets of another Person which constitute all or substantially all of the assets of such Person or of a division, line of business or other business unit of such Person, in each case, that involves the payment of consideration by Holdings and its Subsidiaries in excess of $20,000,000.</w:t>
      </w:r>
    </w:p>
    <w:p>
      <w:pPr>
        <w:spacing w:after="0" w:line="1"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Material Adverse Effect</w:t>
      </w:r>
      <w:r>
        <w:rPr>
          <w:rFonts w:ascii="Times New Roman" w:cs="Times New Roman" w:eastAsia="Times New Roman" w:hAnsi="Times New Roman"/>
          <w:sz w:val="14"/>
          <w:szCs w:val="14"/>
          <w:color w:val="auto"/>
        </w:rPr>
        <w:t>” means any act, event, condition, or circumstance which could reasonably be expected to materially and adversely affect (a) the operations, business, Properties, liabilities (actual or contingent), or condition (financial or otherwise) of the Loan Parties and their Subsidiaries, taken as a whole; (b) the ability of any Loan Party to perform its obligations under any Loan Document to which it is a party; (c) the legality, validity, binding effect or enforceability against any Loan Party of any Loan Document to which it is a party; or (d) the rights, remedies and benefits available to, or conferred upon, Administrative Agent or any Secured Party under any Loan Documents.</w:t>
      </w:r>
    </w:p>
    <w:p>
      <w:pPr>
        <w:spacing w:after="0" w:line="2"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Material Disposition</w:t>
      </w:r>
      <w:r>
        <w:rPr>
          <w:rFonts w:ascii="Times New Roman" w:cs="Times New Roman" w:eastAsia="Times New Roman" w:hAnsi="Times New Roman"/>
          <w:sz w:val="14"/>
          <w:szCs w:val="14"/>
          <w:color w:val="auto"/>
        </w:rPr>
        <w:t>” means any disposition, whether through a single transaction or a series of related transactions, of (a) a majority of the Equity Interests in any Person or other controlling ownership interests in another Person or (b) all or substantially all of the assets of a Person or of a division, line of business or other business unit of such Person, in each case, that yields gross proceeds to Holdings or any of its Subsidiaries in excess of $20,000,000.</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Maturity Date</w:t>
      </w:r>
      <w:r>
        <w:rPr>
          <w:rFonts w:ascii="Times New Roman" w:cs="Times New Roman" w:eastAsia="Times New Roman" w:hAnsi="Times New Roman"/>
          <w:sz w:val="14"/>
          <w:szCs w:val="14"/>
          <w:color w:val="auto"/>
        </w:rPr>
        <w:t>” means February 28, 2028, or such earlier date on which the Commitment of each Lender terminates as provided in this Agreement.</w:t>
      </w:r>
    </w:p>
    <w:p>
      <w:pPr>
        <w:spacing w:after="0" w:line="37"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Maximum Rate</w:t>
      </w:r>
      <w:r>
        <w:rPr>
          <w:rFonts w:ascii="Times New Roman" w:cs="Times New Roman" w:eastAsia="Times New Roman" w:hAnsi="Times New Roman"/>
          <w:sz w:val="14"/>
          <w:szCs w:val="14"/>
          <w:color w:val="auto"/>
        </w:rPr>
        <w:t>” means, at all times, the maximum rate of interest which may be charged, contracted for, taken, received or reserved by Lenders in accordance with applicable Texas Law (or applicable United States federal Law to the extent that such Law permits Lenders to charge, contract for, receive or reserve a greater amount of interest than under Texas Law). The Maximum Rate shall be calculated in a manner that takes into account any and all fees, payments, and other charges in respect of the Loan Documents that constitute interest under applicable Law. Each change in any interest rate provided for herein based upon the Maximum Rate resulting from a change in the Maximum Rate shall take effect without notice to any Borrower at the time of such change in the Maximum Rate.</w:t>
      </w:r>
    </w:p>
    <w:p>
      <w:pPr>
        <w:spacing w:after="0" w:line="1"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Minimum Collateral Amount</w:t>
      </w:r>
      <w:r>
        <w:rPr>
          <w:rFonts w:ascii="Times New Roman" w:cs="Times New Roman" w:eastAsia="Times New Roman" w:hAnsi="Times New Roman"/>
          <w:sz w:val="14"/>
          <w:szCs w:val="14"/>
          <w:color w:val="auto"/>
        </w:rPr>
        <w:t xml:space="preserve">” means, at any time, (a) with respect to Cash Collateral consisting of cash or deposit account balances provided to reduce or eliminate Fronting Exposure during the time that a Defaulting Lender exists, an amount equal to 103% of the Fronting Exposure of L/C Issuer with respect to Letters of Credit issued and outstanding at such time, (b) with respect to Cash Collateral consisting of cash or deposit account balances provided in accordance with the provisions of </w:t>
      </w:r>
      <w:r>
        <w:rPr>
          <w:rFonts w:ascii="Times New Roman" w:cs="Times New Roman" w:eastAsia="Times New Roman" w:hAnsi="Times New Roman"/>
          <w:sz w:val="14"/>
          <w:szCs w:val="14"/>
          <w:b w:val="1"/>
          <w:bCs w:val="1"/>
          <w:i w:val="1"/>
          <w:iCs w:val="1"/>
          <w:color w:val="auto"/>
        </w:rPr>
        <w:t>Section 2.7(a)(i)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(a)(ii)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(a)(iii)</w:t>
      </w:r>
      <w:r>
        <w:rPr>
          <w:rFonts w:ascii="Times New Roman" w:cs="Times New Roman" w:eastAsia="Times New Roman" w:hAnsi="Times New Roman"/>
          <w:sz w:val="14"/>
          <w:szCs w:val="14"/>
          <w:color w:val="auto"/>
        </w:rPr>
        <w:t>, an amount equal to 103% of the Outstanding Amount of all L/C Obligations, and (c) otherwise, an amount determined by Administrative Agent and L/C Issuer in their sole discretion.</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Moody’s</w:t>
      </w:r>
      <w:r>
        <w:rPr>
          <w:rFonts w:ascii="Times New Roman" w:cs="Times New Roman" w:eastAsia="Times New Roman" w:hAnsi="Times New Roman"/>
          <w:sz w:val="14"/>
          <w:szCs w:val="14"/>
          <w:color w:val="auto"/>
        </w:rPr>
        <w:t>” means Moody’s Investors Service, Inc. and any successor thereto.</w:t>
      </w:r>
    </w:p>
    <w:p>
      <w:pPr>
        <w:spacing w:after="0" w:line="37"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Multiemployer Plan</w:t>
      </w:r>
      <w:r>
        <w:rPr>
          <w:rFonts w:ascii="Times New Roman" w:cs="Times New Roman" w:eastAsia="Times New Roman" w:hAnsi="Times New Roman"/>
          <w:sz w:val="14"/>
          <w:szCs w:val="14"/>
          <w:color w:val="auto"/>
        </w:rPr>
        <w:t xml:space="preserve">” means a multiemployer plan defined as such in </w:t>
      </w:r>
      <w:r>
        <w:rPr>
          <w:rFonts w:ascii="Times New Roman" w:cs="Times New Roman" w:eastAsia="Times New Roman" w:hAnsi="Times New Roman"/>
          <w:sz w:val="14"/>
          <w:szCs w:val="14"/>
          <w:i w:val="1"/>
          <w:iCs w:val="1"/>
          <w:color w:val="auto"/>
        </w:rPr>
        <w:t>Section 3(37)</w:t>
      </w:r>
      <w:r>
        <w:rPr>
          <w:rFonts w:ascii="Times New Roman" w:cs="Times New Roman" w:eastAsia="Times New Roman" w:hAnsi="Times New Roman"/>
          <w:sz w:val="14"/>
          <w:szCs w:val="14"/>
          <w:color w:val="auto"/>
        </w:rPr>
        <w:t xml:space="preserve"> of ERISA to which contributions are being made or have been made by, or for which there is an obligation to make contributions by or there is any liability, contingent or otherwise, with respect to a Loan Party or any ERISA Affiliate and which is covered by Title IV of ERISA.</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Net Cash Proceeds</w:t>
      </w:r>
      <w:r>
        <w:rPr>
          <w:rFonts w:ascii="Times New Roman" w:cs="Times New Roman" w:eastAsia="Times New Roman" w:hAnsi="Times New Roman"/>
          <w:sz w:val="14"/>
          <w:szCs w:val="14"/>
          <w:color w:val="auto"/>
        </w:rPr>
        <w:t>” means:</w:t>
      </w:r>
    </w:p>
    <w:p>
      <w:pPr>
        <w:spacing w:after="0" w:line="41" w:lineRule="exact"/>
        <w:rPr>
          <w:sz w:val="20"/>
          <w:szCs w:val="20"/>
          <w:color w:val="auto"/>
        </w:rPr>
      </w:pPr>
    </w:p>
    <w:p>
      <w:pPr>
        <w:jc w:val="both"/>
        <w:ind w:left="420" w:firstLine="436"/>
        <w:spacing w:after="0" w:line="248" w:lineRule="auto"/>
        <w:tabs>
          <w:tab w:leader="none" w:pos="119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Disposition by any Loan Party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Debt that is secured by the applicable asset and that is required to be repaid in connection with such transaction (other than Debt under the Loan Documents), (B) the reasonable out-of-pocket expenses incurred by such Loan Party or such Subsidiary in connection with such transaction including legal, accounting, investment banking and other professional fees and (C) taxes paid or reasonably estimated to be payable within the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300"/>
          </w:cols>
          <w:pgMar w:left="300" w:top="287" w:right="29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5" w:lineRule="exact"/>
        <w:rPr>
          <w:sz w:val="20"/>
          <w:szCs w:val="20"/>
          <w:color w:val="auto"/>
        </w:rPr>
      </w:pPr>
    </w:p>
    <w:p>
      <w:pPr>
        <w:jc w:val="both"/>
        <w:ind w:left="420"/>
        <w:spacing w:after="0" w:line="255" w:lineRule="auto"/>
        <w:rPr>
          <w:sz w:val="20"/>
          <w:szCs w:val="20"/>
          <w:color w:val="auto"/>
        </w:rPr>
      </w:pPr>
      <w:r>
        <w:rPr>
          <w:rFonts w:ascii="Times New Roman" w:cs="Times New Roman" w:eastAsia="Times New Roman" w:hAnsi="Times New Roman"/>
          <w:sz w:val="14"/>
          <w:szCs w:val="14"/>
          <w:color w:val="auto"/>
        </w:rPr>
        <w:t xml:space="preserve">year such relevant transaction occurred and the year immediately following the date of such transaction as a result of any gain recognized in connection therewith;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(1) reserves established pursuant to </w:t>
      </w:r>
      <w:r>
        <w:rPr>
          <w:rFonts w:ascii="Times New Roman" w:cs="Times New Roman" w:eastAsia="Times New Roman" w:hAnsi="Times New Roman"/>
          <w:sz w:val="14"/>
          <w:szCs w:val="14"/>
          <w:b w:val="1"/>
          <w:bCs w:val="1"/>
          <w:i w:val="1"/>
          <w:iCs w:val="1"/>
          <w:color w:val="auto"/>
        </w:rPr>
        <w:t>subclause (A)</w:t>
      </w:r>
      <w:r>
        <w:rPr>
          <w:rFonts w:ascii="Times New Roman" w:cs="Times New Roman" w:eastAsia="Times New Roman" w:hAnsi="Times New Roman"/>
          <w:sz w:val="14"/>
          <w:szCs w:val="14"/>
          <w:color w:val="auto"/>
        </w:rPr>
        <w:t xml:space="preserve"> exceeds the actual purchase price adjustment required to be paid in connection with such transactions, or (2) the amount of any estimated taxes pursuant to </w:t>
      </w:r>
      <w:r>
        <w:rPr>
          <w:rFonts w:ascii="Times New Roman" w:cs="Times New Roman" w:eastAsia="Times New Roman" w:hAnsi="Times New Roman"/>
          <w:sz w:val="14"/>
          <w:szCs w:val="14"/>
          <w:b w:val="1"/>
          <w:bCs w:val="1"/>
          <w:i w:val="1"/>
          <w:iCs w:val="1"/>
          <w:color w:val="auto"/>
        </w:rPr>
        <w:t>subclause (C)</w:t>
      </w:r>
      <w:r>
        <w:rPr>
          <w:rFonts w:ascii="Times New Roman" w:cs="Times New Roman" w:eastAsia="Times New Roman" w:hAnsi="Times New Roman"/>
          <w:sz w:val="14"/>
          <w:szCs w:val="14"/>
          <w:color w:val="auto"/>
        </w:rPr>
        <w:t xml:space="preserve"> exceeds the amount of taxes actually required to be paid in cash in respect of such Disposition, in each case, the aggregate amount of such excess shall constitute Net Cash Proceeds.</w:t>
      </w:r>
    </w:p>
    <w:p>
      <w:pPr>
        <w:spacing w:after="0" w:line="2" w:lineRule="exact"/>
        <w:rPr>
          <w:sz w:val="20"/>
          <w:szCs w:val="20"/>
          <w:color w:val="auto"/>
        </w:rPr>
      </w:pPr>
    </w:p>
    <w:p>
      <w:pPr>
        <w:jc w:val="both"/>
        <w:ind w:left="420" w:firstLine="436"/>
        <w:spacing w:after="0" w:line="252" w:lineRule="auto"/>
        <w:tabs>
          <w:tab w:leader="none" w:pos="117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sale or issuance of any Equity Interests by any Loan Party or any of its Subsidiaries, or the incurrence or issuance of any Debt by any Loan Party or any of its Subsidiaries, the excess of (i) the sum of the cash and cash equivalents received in connection with such transaction over (ii) the underwriting discounts and commissions, and other reasonable and customary out-of-pocket expenses, incurred by such Loan Party or such Subsidiary in connection therewith.</w:t>
      </w:r>
    </w:p>
    <w:p>
      <w:pPr>
        <w:spacing w:after="0" w:line="2"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Net Income</w:t>
      </w:r>
      <w:r>
        <w:rPr>
          <w:rFonts w:ascii="Times New Roman" w:cs="Times New Roman" w:eastAsia="Times New Roman" w:hAnsi="Times New Roman"/>
          <w:sz w:val="14"/>
          <w:szCs w:val="14"/>
          <w:color w:val="auto"/>
        </w:rPr>
        <w:t xml:space="preserve">” means, for any Person for any period, the net income (or loss) of such Person and its Subsidiaries on a consolidated basis as determined in accordance with GAAP;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Net Income shall exclude (a) the net income of any Subsidiary of such Person during such period to the extent that the declaration or payment of dividends or similar distributions by such Subsidiary of such income is not permitted by operation of the terms of its Constituent Documents or any agreement, instrument or Law applicable to such Subsidiary during such period, except that such Person’s equity in any net loss of any such Subsidiary for such period shall be included in determining Net Income, and (b) any income (or loss) for such period of any other Person if such other Person is not a Subsidiary, except that Holdings’ equity in the net income of any such Person for such period shall be included in Net Income up to the aggregate amount of cash actually distributed by such Person during such period to Holdings or a Subsidiary as a dividend or other distribution (and in the case of a dividend or other distribution to a Subsidiary, such Subsidiary is not precluded from further distributing such amount to Holdings as described in </w:t>
      </w:r>
      <w:r>
        <w:rPr>
          <w:rFonts w:ascii="Times New Roman" w:cs="Times New Roman" w:eastAsia="Times New Roman" w:hAnsi="Times New Roman"/>
          <w:sz w:val="14"/>
          <w:szCs w:val="14"/>
          <w:b w:val="1"/>
          <w:bCs w:val="1"/>
          <w:i w:val="1"/>
          <w:iCs w:val="1"/>
          <w:color w:val="auto"/>
        </w:rPr>
        <w:t>clause (a)</w:t>
      </w:r>
      <w:r>
        <w:rPr>
          <w:rFonts w:ascii="Times New Roman" w:cs="Times New Roman" w:eastAsia="Times New Roman" w:hAnsi="Times New Roman"/>
          <w:sz w:val="14"/>
          <w:szCs w:val="14"/>
          <w:color w:val="auto"/>
        </w:rPr>
        <w:t xml:space="preserve"> of this proviso).</w:t>
      </w:r>
    </w:p>
    <w:p>
      <w:pPr>
        <w:spacing w:after="0" w:line="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Net Orderly Liquidation Value Percentage</w:t>
      </w:r>
      <w:r>
        <w:rPr>
          <w:rFonts w:ascii="Times New Roman" w:cs="Times New Roman" w:eastAsia="Times New Roman" w:hAnsi="Times New Roman"/>
          <w:sz w:val="14"/>
          <w:szCs w:val="14"/>
          <w:color w:val="auto"/>
        </w:rPr>
        <w:t xml:space="preserve">” means, with respect to Inventory of any Person, the orderly liquidation value thereof , expressed as a percentage, as determined in a manner acceptable to the Administrative Agent pursuant to the most recent appraisal (including compressor fleet appraisal) ordered, received and relied upon by the Administrative Agent pursuant to </w:t>
      </w:r>
      <w:r>
        <w:rPr>
          <w:rFonts w:ascii="Times New Roman" w:cs="Times New Roman" w:eastAsia="Times New Roman" w:hAnsi="Times New Roman"/>
          <w:sz w:val="14"/>
          <w:szCs w:val="14"/>
          <w:b w:val="1"/>
          <w:bCs w:val="1"/>
          <w:i w:val="1"/>
          <w:iCs w:val="1"/>
          <w:color w:val="auto"/>
        </w:rPr>
        <w:t xml:space="preserve">Section 6.6(c) </w:t>
      </w:r>
      <w:r>
        <w:rPr>
          <w:rFonts w:ascii="Times New Roman" w:cs="Times New Roman" w:eastAsia="Times New Roman" w:hAnsi="Times New Roman"/>
          <w:sz w:val="14"/>
          <w:szCs w:val="14"/>
          <w:color w:val="auto"/>
        </w:rPr>
        <w:t>and conducted by an appraiser acceptable to the Administrative Agent, net of all costs of liquidation thereof.</w:t>
      </w:r>
    </w:p>
    <w:p>
      <w:pPr>
        <w:spacing w:after="0" w:line="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Non-Consenting Lender</w:t>
      </w:r>
      <w:r>
        <w:rPr>
          <w:rFonts w:ascii="Times New Roman" w:cs="Times New Roman" w:eastAsia="Times New Roman" w:hAnsi="Times New Roman"/>
          <w:sz w:val="14"/>
          <w:szCs w:val="14"/>
          <w:color w:val="auto"/>
        </w:rPr>
        <w:t xml:space="preserve">” means any Lender that does not approve any consent, waiver or amendment that (a) requires the approval of the Required Supermajority Lenders or all or all affected Lenders in accordance with the terms of </w:t>
      </w:r>
      <w:r>
        <w:rPr>
          <w:rFonts w:ascii="Times New Roman" w:cs="Times New Roman" w:eastAsia="Times New Roman" w:hAnsi="Times New Roman"/>
          <w:sz w:val="14"/>
          <w:szCs w:val="14"/>
          <w:b w:val="1"/>
          <w:bCs w:val="1"/>
          <w:i w:val="1"/>
          <w:iCs w:val="1"/>
          <w:color w:val="auto"/>
        </w:rPr>
        <w:t>Section 11.10</w:t>
      </w:r>
      <w:r>
        <w:rPr>
          <w:rFonts w:ascii="Times New Roman" w:cs="Times New Roman" w:eastAsia="Times New Roman" w:hAnsi="Times New Roman"/>
          <w:sz w:val="14"/>
          <w:szCs w:val="14"/>
          <w:color w:val="auto"/>
        </w:rPr>
        <w:t xml:space="preserve"> and (b) has been approved by the Required Lenders.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Non-Defaulting Lender</w:t>
      </w:r>
      <w:r>
        <w:rPr>
          <w:rFonts w:ascii="Times New Roman" w:cs="Times New Roman" w:eastAsia="Times New Roman" w:hAnsi="Times New Roman"/>
          <w:sz w:val="14"/>
          <w:szCs w:val="14"/>
          <w:color w:val="auto"/>
        </w:rPr>
        <w:t>” means, at any time, each Lender that is not a Defaulting Lender at such time.</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Non-Investment Grade Account Debtor</w:t>
      </w:r>
      <w:r>
        <w:rPr>
          <w:rFonts w:ascii="Times New Roman" w:cs="Times New Roman" w:eastAsia="Times New Roman" w:hAnsi="Times New Roman"/>
          <w:sz w:val="14"/>
          <w:szCs w:val="14"/>
          <w:color w:val="auto"/>
        </w:rPr>
        <w:t>” means any account debtor which is not an Investment Grade Account Debtor.</w:t>
      </w:r>
    </w:p>
    <w:p>
      <w:pPr>
        <w:spacing w:after="0" w:line="3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Notes</w:t>
      </w:r>
      <w:r>
        <w:rPr>
          <w:rFonts w:ascii="Times New Roman" w:cs="Times New Roman" w:eastAsia="Times New Roman" w:hAnsi="Times New Roman"/>
          <w:sz w:val="14"/>
          <w:szCs w:val="14"/>
          <w:color w:val="auto"/>
        </w:rPr>
        <w:t xml:space="preserve">” means, collectively, each promissory note made by Borrowers in favor of a Lender evidencing Revolving Credit Loans or Swing Line Loans, as the case may be, made by such Lender, substantially in the form of </w:t>
      </w:r>
      <w:r>
        <w:rPr>
          <w:rFonts w:ascii="Times New Roman" w:cs="Times New Roman" w:eastAsia="Times New Roman" w:hAnsi="Times New Roman"/>
          <w:sz w:val="14"/>
          <w:szCs w:val="14"/>
          <w:b w:val="1"/>
          <w:bCs w:val="1"/>
          <w:i w:val="1"/>
          <w:iCs w:val="1"/>
          <w:color w:val="auto"/>
        </w:rPr>
        <w:t>Exhibit E</w:t>
      </w:r>
      <w:r>
        <w:rPr>
          <w:rFonts w:ascii="Times New Roman" w:cs="Times New Roman" w:eastAsia="Times New Roman" w:hAnsi="Times New Roman"/>
          <w:sz w:val="14"/>
          <w:szCs w:val="14"/>
          <w:color w:val="auto"/>
        </w:rPr>
        <w:t>.</w:t>
      </w: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Obligations</w:t>
      </w:r>
      <w:r>
        <w:rPr>
          <w:rFonts w:ascii="Times New Roman" w:cs="Times New Roman" w:eastAsia="Times New Roman" w:hAnsi="Times New Roman"/>
          <w:sz w:val="14"/>
          <w:szCs w:val="14"/>
          <w:color w:val="auto"/>
        </w:rPr>
        <w:t xml:space="preserve">” means all obligations, indebtedness, and liabilities of Borrowers and each other Loan Party to Administrative Agent, each Lender and each other Secured Party now existing or hereafter arising, whether direct, indirect, related, unrelated, fixed, contingent, liquidated, unliquidated, joint, several, or joint and several, arising under or pursuant to this Agreement, any Bank Product Agreements or the other Loan Documents, and all interest accruing thereon (whether a claim for post-filing or post-petition interest is allowed in any bankruptcy, insolvency, reorganization or similar proceeding) and all attorneys’ fees and other expenses incurred in the enforcement or collection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as to any Loan Party, the “Obligations” shall exclude any Excluded Swap Obligations of such Loan Party.</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1300"/>
          </w:cols>
          <w:pgMar w:left="300" w:top="287" w:right="29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OFAC</w:t>
      </w:r>
      <w:r>
        <w:rPr>
          <w:rFonts w:ascii="Times New Roman" w:cs="Times New Roman" w:eastAsia="Times New Roman" w:hAnsi="Times New Roman"/>
          <w:sz w:val="14"/>
          <w:szCs w:val="14"/>
          <w:color w:val="auto"/>
        </w:rPr>
        <w:t>” means the Office of Foreign Assets Control of the United States Department of the Treasury.</w:t>
      </w:r>
    </w:p>
    <w:p>
      <w:pPr>
        <w:spacing w:after="0" w:line="37"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Other Connection Taxes</w:t>
      </w:r>
      <w:r>
        <w:rPr>
          <w:rFonts w:ascii="Times New Roman" w:cs="Times New Roman" w:eastAsia="Times New Roman" w:hAnsi="Times New Roman"/>
          <w:sz w:val="14"/>
          <w:szCs w:val="14"/>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Other Guaranties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12.11</w:t>
      </w:r>
      <w:r>
        <w:rPr>
          <w:rFonts w:ascii="Times New Roman" w:cs="Times New Roman" w:eastAsia="Times New Roman" w:hAnsi="Times New Roman"/>
          <w:sz w:val="14"/>
          <w:szCs w:val="14"/>
          <w:b w:val="1"/>
          <w:bCs w:val="1"/>
          <w:color w:val="auto"/>
        </w:rPr>
        <w:t>.</w:t>
      </w:r>
    </w:p>
    <w:p>
      <w:pPr>
        <w:spacing w:after="0" w:line="3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Other Guarantors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12.11</w:t>
      </w:r>
      <w:r>
        <w:rPr>
          <w:rFonts w:ascii="Times New Roman" w:cs="Times New Roman" w:eastAsia="Times New Roman" w:hAnsi="Times New Roman"/>
          <w:sz w:val="14"/>
          <w:szCs w:val="14"/>
          <w:b w:val="1"/>
          <w:bCs w:val="1"/>
          <w:color w:val="auto"/>
        </w:rPr>
        <w:t>.</w:t>
      </w:r>
    </w:p>
    <w:p>
      <w:pPr>
        <w:spacing w:after="0" w:line="31"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Other Taxes</w:t>
      </w:r>
      <w:r>
        <w:rPr>
          <w:rFonts w:ascii="Times New Roman" w:cs="Times New Roman" w:eastAsia="Times New Roman" w:hAnsi="Times New Roman"/>
          <w:sz w:val="14"/>
          <w:szCs w:val="14"/>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4"/>
          <w:szCs w:val="14"/>
          <w:b w:val="1"/>
          <w:bCs w:val="1"/>
          <w:i w:val="1"/>
          <w:iCs w:val="1"/>
          <w:color w:val="auto"/>
        </w:rPr>
        <w:t>Section 3.6</w:t>
      </w:r>
      <w:r>
        <w:rPr>
          <w:rFonts w:ascii="Times New Roman" w:cs="Times New Roman" w:eastAsia="Times New Roman" w:hAnsi="Times New Roman"/>
          <w:sz w:val="14"/>
          <w:szCs w:val="14"/>
          <w:color w:val="auto"/>
        </w:rPr>
        <w:t>).</w:t>
      </w:r>
    </w:p>
    <w:p>
      <w:pPr>
        <w:spacing w:after="0" w:line="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Outbound Investment Rules</w:t>
      </w:r>
      <w:r>
        <w:rPr>
          <w:rFonts w:ascii="Times New Roman" w:cs="Times New Roman" w:eastAsia="Times New Roman" w:hAnsi="Times New Roman"/>
          <w:sz w:val="14"/>
          <w:szCs w:val="14"/>
          <w:color w:val="auto"/>
        </w:rPr>
        <w:t>” means the regulations administered and enforced, together with any related public guidance issued, by the United States Treasury Department under U.S.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Executive Order 14105 of August 9, 2023, or any similar law or regulation; as of the Fourth Amendment Effective Date, and as codified at 31 C.F.R. § 850.101 et seq.</w:t>
      </w:r>
    </w:p>
    <w:p>
      <w:pPr>
        <w:spacing w:after="0" w:line="17"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Outstanding Amount</w:t>
      </w:r>
      <w:r>
        <w:rPr>
          <w:rFonts w:ascii="Times New Roman" w:cs="Times New Roman" w:eastAsia="Times New Roman" w:hAnsi="Times New Roman"/>
          <w:sz w:val="14"/>
          <w:szCs w:val="14"/>
          <w:color w:val="auto"/>
        </w:rPr>
        <w:t>” means (a) with respect to the Revolving Credit Loans and the Swing Line Loans on any date, the aggregate outstanding principal amount thereof after giving effect to any borrowings and prepayments or repayments of Revolving Credit Loans and Swing 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Borrowers of Unreimbursed Amounts.</w:t>
      </w:r>
    </w:p>
    <w:p>
      <w:pPr>
        <w:spacing w:after="0" w:line="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Participant</w:t>
      </w:r>
      <w:r>
        <w:rPr>
          <w:rFonts w:ascii="Times New Roman" w:cs="Times New Roman" w:eastAsia="Times New Roman" w:hAnsi="Times New Roman"/>
          <w:sz w:val="14"/>
          <w:szCs w:val="14"/>
          <w:color w:val="auto"/>
        </w:rPr>
        <w:t>” means any Person (other than (a) a natural person, (b) a holding company, investment vehicle or trust for, or owned and operated for the primary benefit of, a natural person,</w:t>
      </w:r>
    </w:p>
    <w:p>
      <w:pPr>
        <w:spacing w:after="0" w:line="21" w:lineRule="exact"/>
        <w:rPr>
          <w:sz w:val="20"/>
          <w:szCs w:val="20"/>
          <w:color w:val="auto"/>
        </w:rPr>
      </w:pPr>
    </w:p>
    <w:p>
      <w:pPr>
        <w:ind w:left="8" w:hanging="8"/>
        <w:spacing w:after="0" w:line="244" w:lineRule="auto"/>
        <w:tabs>
          <w:tab w:leader="none" w:pos="20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Defaulting Lender, or (d) Holdings, any of Holdings’ Affiliates, any Subsidiaries of Holdings or any other Loan Party) to which a participation is sold by any Lender in all or a portion of such Lender’s rights and/or obligations under this Agreement (including all or a portion of its Commitment and/or the Loans owing to it).</w:t>
      </w:r>
    </w:p>
    <w:p>
      <w:pPr>
        <w:spacing w:after="0" w:line="4" w:lineRule="exact"/>
        <w:rPr>
          <w:sz w:val="20"/>
          <w:szCs w:val="20"/>
          <w:color w:val="auto"/>
        </w:rPr>
      </w:pPr>
    </w:p>
    <w:p>
      <w:pPr>
        <w:ind w:left="8"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Participant Register</w:t>
      </w:r>
      <w:r>
        <w:rPr>
          <w:rFonts w:ascii="Times New Roman" w:cs="Times New Roman" w:eastAsia="Times New Roman" w:hAnsi="Times New Roman"/>
          <w:sz w:val="14"/>
          <w:szCs w:val="14"/>
          <w:color w:val="auto"/>
        </w:rPr>
        <w:t>” means a register in the United States on which each Lender that sells a participation enters the name and address of each Participant and the principal amounts (and stated interest) of each Participant’s interest in the Loans or other obligations under the Loan Documents.</w:t>
      </w:r>
    </w:p>
    <w:p>
      <w:pPr>
        <w:ind w:left="8"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Patriot Act</w:t>
      </w:r>
      <w:r>
        <w:rPr>
          <w:rFonts w:ascii="Times New Roman" w:cs="Times New Roman" w:eastAsia="Times New Roman" w:hAnsi="Times New Roman"/>
          <w:sz w:val="14"/>
          <w:szCs w:val="14"/>
          <w:color w:val="auto"/>
        </w:rPr>
        <w:t>” means the Uniting and Strengthening America by Providing Appropriate Tools to Intercept and Obstruct Terrorism Act of 2001 (Title III of Pub. L. 107-56, signed into law October 26, 2001).</w:t>
      </w:r>
    </w:p>
    <w:p>
      <w:pPr>
        <w:ind w:left="4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Payment Conditions</w:t>
      </w:r>
      <w:r>
        <w:rPr>
          <w:rFonts w:ascii="Times New Roman" w:cs="Times New Roman" w:eastAsia="Times New Roman" w:hAnsi="Times New Roman"/>
          <w:sz w:val="14"/>
          <w:szCs w:val="14"/>
          <w:color w:val="auto"/>
        </w:rPr>
        <w:t>” means, with respect to any Restricted Payments made pursuant to Section 7.4(c) or any Permitted Acquisition, that:</w:t>
      </w:r>
    </w:p>
    <w:p>
      <w:pPr>
        <w:spacing w:after="0" w:line="41" w:lineRule="exact"/>
        <w:rPr>
          <w:sz w:val="20"/>
          <w:szCs w:val="20"/>
          <w:color w:val="auto"/>
        </w:rPr>
      </w:pPr>
    </w:p>
    <w:p>
      <w:pPr>
        <w:ind w:left="428" w:firstLine="436"/>
        <w:spacing w:after="0" w:line="268" w:lineRule="auto"/>
        <w:tabs>
          <w:tab w:leader="none" w:pos="105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shall have occurred and be continuing on the date of such Restricted Payment or Permitted Acquisition or would result after giving effect to such transaction;</w:t>
      </w:r>
    </w:p>
    <w:p>
      <w:pPr>
        <w:ind w:left="428" w:firstLine="436"/>
        <w:spacing w:after="0" w:line="282" w:lineRule="auto"/>
        <w:tabs>
          <w:tab w:leader="none" w:pos="108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giving effect to and at all times during the thirty (30) consecutive day period immediately prior to the making of such Restricted Payment or consummation of such Permitted Acquisition, Availability shall be greater than or equal to the greater of (i) $65,000,000 and (ii) seventeen and one-half percent (17.5%) of the Line Cap then in effect;</w:t>
      </w:r>
    </w:p>
    <w:p>
      <w:pPr>
        <w:spacing w:after="0" w:line="3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308"/>
          </w:cols>
          <w:pgMar w:left="292" w:top="287" w:right="29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ind w:left="420" w:firstLine="436"/>
        <w:spacing w:after="0" w:line="268" w:lineRule="auto"/>
        <w:tabs>
          <w:tab w:leader="none" w:pos="1057"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giving effect to such Restricted Payment or Permitted Acquisition, Holdings shall be in pro forma compliance with the Financial Covenants for the most recently ended applicable period for which financial statements are available; and</w:t>
      </w:r>
    </w:p>
    <w:p>
      <w:pPr>
        <w:ind w:left="420" w:firstLine="436"/>
        <w:spacing w:after="0" w:line="265" w:lineRule="auto"/>
        <w:tabs>
          <w:tab w:leader="none" w:pos="1074"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shall have received a certificate of a Responsible Officer of the Borrower Representative demonstrating satisfaction of the foregoing conditions concurrently with such Restricted Payment or Permitted Acquisition.</w:t>
      </w:r>
    </w:p>
    <w:p>
      <w:pPr>
        <w:jc w:val="both"/>
        <w:ind w:firstLine="432"/>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Payment Date</w:t>
      </w:r>
      <w:r>
        <w:rPr>
          <w:rFonts w:ascii="Times New Roman" w:cs="Times New Roman" w:eastAsia="Times New Roman" w:hAnsi="Times New Roman"/>
          <w:sz w:val="14"/>
          <w:szCs w:val="14"/>
          <w:color w:val="auto"/>
        </w:rPr>
        <w:t>” means (a) in respect of each Base Rate Loan (including a Swing Line Loan), the first day of each and every calendar month during the term of this Agreement, upon prepayment of such Loan and the Maturity Date, (b) in respect of each Term SOFR Loan, the last day of each Interest Period applicable to such Term SOFR Loan (or the day that is three (3) months after the first day of such Interest Period if such Interest Period has a length of more than three (3) months), upon prepayment of such Loan and the Maturity Date and (c) in respect of each Daily Simple SOFR Loan, the first day of each and every calendar month during the term of this Agreement, upon prepayment of such Loan, and the Maturity Date.</w:t>
      </w:r>
    </w:p>
    <w:p>
      <w:pPr>
        <w:spacing w:after="0" w:line="2" w:lineRule="exact"/>
        <w:rPr>
          <w:sz w:val="20"/>
          <w:szCs w:val="20"/>
          <w:color w:val="auto"/>
        </w:rPr>
      </w:pPr>
    </w:p>
    <w:p>
      <w:pPr>
        <w:ind w:right="20" w:firstLine="432"/>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Payment Notice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10.12(b)</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PBGC</w:t>
      </w:r>
      <w:r>
        <w:rPr>
          <w:rFonts w:ascii="Times New Roman" w:cs="Times New Roman" w:eastAsia="Times New Roman" w:hAnsi="Times New Roman"/>
          <w:sz w:val="14"/>
          <w:szCs w:val="14"/>
          <w:color w:val="auto"/>
        </w:rPr>
        <w:t>” means the Pension Benefit Guaranty Corporation or any entity succeeding to all or any of its functions under ERISA.</w:t>
      </w:r>
    </w:p>
    <w:p>
      <w:pPr>
        <w:spacing w:after="0" w:line="18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Perfection Certificate</w:t>
      </w:r>
      <w:r>
        <w:rPr>
          <w:rFonts w:ascii="Times New Roman" w:cs="Times New Roman" w:eastAsia="Times New Roman" w:hAnsi="Times New Roman"/>
          <w:sz w:val="14"/>
          <w:szCs w:val="14"/>
          <w:color w:val="auto"/>
        </w:rPr>
        <w:t>” means, collectively, (a) that certain Perfection Certificate dated as of the Closing Date, executed by the Loan Parties at such time and addressed to Administrative Agent and (b) any other perfection certificate from time to time delivered to Administrative Agent, executed by the Loan Parties, in each case in form and substance reasonably satisfactory to Administrative Agent.</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Periodic Term SOFR Determination Day</w:t>
      </w:r>
      <w:r>
        <w:rPr>
          <w:rFonts w:ascii="Times New Roman" w:cs="Times New Roman" w:eastAsia="Times New Roman" w:hAnsi="Times New Roman"/>
          <w:sz w:val="14"/>
          <w:szCs w:val="14"/>
          <w:color w:val="auto"/>
        </w:rPr>
        <w:t>” has the meaning set forth in the definition of “Term SOFR”.</w:t>
      </w:r>
    </w:p>
    <w:p>
      <w:pPr>
        <w:spacing w:after="0" w:line="37"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Permitted Acquisition</w:t>
      </w:r>
      <w:r>
        <w:rPr>
          <w:rFonts w:ascii="Times New Roman" w:cs="Times New Roman" w:eastAsia="Times New Roman" w:hAnsi="Times New Roman"/>
          <w:sz w:val="14"/>
          <w:szCs w:val="14"/>
          <w:color w:val="auto"/>
        </w:rPr>
        <w:t xml:space="preserve">” means any acquisition by any Loan Party or any Domestic Subsidiary of any Loan Party, whether by purchase, merger or otherwise, of all or substantially all of the assets of, all of the Equity Interests of, or a business line or unit or a division of, any Person;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that</w:t>
      </w:r>
      <w:r>
        <w:rPr>
          <w:rFonts w:ascii="Times New Roman" w:cs="Times New Roman" w:eastAsia="Times New Roman" w:hAnsi="Times New Roman"/>
          <w:sz w:val="14"/>
          <w:szCs w:val="14"/>
          <w:color w:val="auto"/>
        </w:rPr>
        <w:t xml:space="preserve">: no Default or Event of Default shall have occurred and be continuing either immediately prior to or immediately after giving effect to such acquisition; such acquisition is not a hostile or contested acquisition; the business acquired in connection with such acquisition is (i) principally located in the United States or Canada, (ii) organized under applicable laws, and (iii) not engaged, directly or indirectly, in any line of business other than the businesses in which the Loan Parties are engaged on the Closing Date or any Permitted Other Business Lines; unless consented to by Administrative Agent, which consent shall not be unreasonably withheld, conditioned or delayed, the business, division or Person acquired shall not have a negative EBITDA after giving effect to reasonable pro forma adjustments which are approved by Administrative Agent; at or prior to the closing of any such proposed Permitted Acquisition, Administrative Agent will be granted a first priority perfected Lien (subject only to Permitted Liens) in substantially all assets constituting Collateral acquired pursuant thereto and Equity Interests of the Person being acquired (to the extent required by this Agreement) if such Person will become a Loan Party hereunder, and the Borrowers and such Person shall have executed such documents and taken such actions as may be reasonably required by Administrative Agent in connection therewith (including, without limitation, the delivery of (A) certified copies of the resolutions of the board of directors, board of managers, sole member or other comparable governing body of, as applicable, any applicable Loan Party and such Person authorizing such Permitted Acquisition and the granting of Liens described herein, (B) legal opinions, in form and substance reasonably acceptable to Administrative Agent, with respect to the transactions described herein, (C) evidence of insurance of the business to be acquired consistent with the requirements of this Agreement and (D) if applicable, a Joinder Agreement and any joinders or other agreements required pursuant to </w:t>
      </w:r>
      <w:r>
        <w:rPr>
          <w:rFonts w:ascii="Times New Roman" w:cs="Times New Roman" w:eastAsia="Times New Roman" w:hAnsi="Times New Roman"/>
          <w:sz w:val="14"/>
          <w:szCs w:val="14"/>
          <w:b w:val="1"/>
          <w:bCs w:val="1"/>
          <w:i w:val="1"/>
          <w:iCs w:val="1"/>
          <w:color w:val="auto"/>
        </w:rPr>
        <w:t>Section 6.13</w:t>
      </w:r>
      <w:r>
        <w:rPr>
          <w:rFonts w:ascii="Times New Roman" w:cs="Times New Roman" w:eastAsia="Times New Roman" w:hAnsi="Times New Roman"/>
          <w:sz w:val="14"/>
          <w:szCs w:val="14"/>
          <w:color w:val="auto"/>
        </w:rPr>
        <w:t>); [reserved]; the Borrower Representative shall have furnished Administrative Agent with twenty (20) days’ (or such shorter period as may be agreed by Administrative Agent in its sole discretion) prior written notice of such proposed acquisition; if such acquisition is an acquisition of the Equity Interests of a Person, the acquisition is structured so that the acquired Person shall become (i) a Subsidiary of Holdings of which greater than fifty percent (50%) of the issued and outstanding Equity Interests thereof are owned and held by Holdings and/or one or more Subsidiaries of Holdings and (ii) a Borrower and/or Guarantor pursuant to the terms of this Agreement to the extent required pursuant to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1300"/>
          </w:cols>
          <w:pgMar w:left="300" w:top="287" w:right="29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b w:val="1"/>
          <w:bCs w:val="1"/>
          <w:i w:val="1"/>
          <w:iCs w:val="1"/>
          <w:color w:val="auto"/>
        </w:rPr>
        <w:t>Section 6.13(a)</w:t>
      </w:r>
      <w:r>
        <w:rPr>
          <w:rFonts w:ascii="Times New Roman" w:cs="Times New Roman" w:eastAsia="Times New Roman" w:hAnsi="Times New Roman"/>
          <w:sz w:val="14"/>
          <w:szCs w:val="14"/>
          <w:color w:val="auto"/>
        </w:rPr>
        <w:t>; in connection with an acquisition of the Equity Interests of any Person, all Liens on property of such Person shall be terminated unless the Administrative Agent in its sole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discretion consents otherwise, and in connection with an acquisition of the assets of any Person, all Liens on such assets shall be terminated; the Borrower Representative shall have furnished Administrative Agent (as soon as available, and in event at least five (5) Business Days’ prior to the consummation of such acquisition (or such shorter period as may be agreed by Administrative Agent in its sole discretion)) with a current draft of the applicable material acquisition documents (and final copies thereof as and when executed); the Payment Conditions shall have been satisfied; and the Borrower Representative shall have furnished to Administrative Agent at least three (3) Business Days prior to the date on which any such acquisition is to be consummated or such shorter time as Administrative Agent may allow, a certificate of a Responsible Officer of Borrower, in form and substance reasonably satisfactory to Administrative Agent, certifying that (i) immediately after giving effect such acquisition, the Payment Conditions shall have been satisfied and (ii) all of the other requirements for a Permitted Acquisition will be satisfied on or prior to the closing date of such acquisition. Notwithstanding anything to the contrary herein, no Accounts, Inventory, or Compressor Units (other than any Eligible New Compressor Fleet to the extent acquired by a Loan Party) acquired in connection with such acquisition will be included in the determination of the Borrowing Base until (i) such Accounts, Inventory and Compressor Units shall have satisfied their respective eligibility criteria as set forth in the definitions of “Eligible Accounts, “Eligible Inventory” and “Eligible Compressors”, respectively, and (ii) the Administrative Agent shall have conducted an appraisal, audit and/or field examination of such Accounts, Inventory or Compressor Units, as the case may be, the results of which shall be satisfactory to the Administrative Agent in its sole discretion. The Borrower Representative may, at its option, deliver an updated Borrowing Base Report in connection with any Permitted Acquisition with an “as of” date acceptable to the Administrative Agent for purposes of including any acquired Accounts, Inventory or Compressor Units in the Borrowing Base in connection with such Permitted Acquisition.</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Permitted Discretion</w:t>
      </w:r>
      <w:r>
        <w:rPr>
          <w:rFonts w:ascii="Times New Roman" w:cs="Times New Roman" w:eastAsia="Times New Roman" w:hAnsi="Times New Roman"/>
          <w:sz w:val="14"/>
          <w:szCs w:val="14"/>
          <w:color w:val="auto"/>
        </w:rPr>
        <w:t>” means a determination made in good faith and in the exercise of reasonable (from the perspective of a secured asset-based lender) business judgment.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Permitted Liens</w:t>
      </w:r>
      <w:r>
        <w:rPr>
          <w:rFonts w:ascii="Times New Roman" w:cs="Times New Roman" w:eastAsia="Times New Roman" w:hAnsi="Times New Roman"/>
          <w:sz w:val="14"/>
          <w:szCs w:val="14"/>
          <w:color w:val="auto"/>
        </w:rPr>
        <w:t xml:space="preserve">” means those Liens permitted by </w:t>
      </w:r>
      <w:r>
        <w:rPr>
          <w:rFonts w:ascii="Times New Roman" w:cs="Times New Roman" w:eastAsia="Times New Roman" w:hAnsi="Times New Roman"/>
          <w:sz w:val="14"/>
          <w:szCs w:val="14"/>
          <w:b w:val="1"/>
          <w:bCs w:val="1"/>
          <w:i w:val="1"/>
          <w:iCs w:val="1"/>
          <w:color w:val="auto"/>
        </w:rPr>
        <w:t>Section 7.2</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Permitted Other Business Lines</w:t>
      </w:r>
      <w:r>
        <w:rPr>
          <w:rFonts w:ascii="Times New Roman" w:cs="Times New Roman" w:eastAsia="Times New Roman" w:hAnsi="Times New Roman"/>
          <w:sz w:val="14"/>
          <w:szCs w:val="14"/>
          <w:color w:val="auto"/>
        </w:rPr>
        <w:t>” means any and all of the following: (a) sales, rental and/or servicing of gas treating and/or processing equipment and/or the providing of gas treating and/or processing services; (b) sales, rental and/or servicing of oil and gas measurement and/or treating equipment and/or the providing of oil and gas measurement and/or treating services; (c) sales, rental and/or servicing of natural gas emissions equipment and/or the providing of natural gas emissions measurement services; (d) operation of pipelines for in-state transportation of oil and/or gas from a wellhead to a treatment or processing facility; (e) fabrication, sales, rental and/or servicing of portable power generation equipment; and (f) any other businesses directly related to the servicing of crude oil and natural gas producers and producing properties approved by the Administrative Agent, such approval not to be unreasonably withheld.</w:t>
      </w:r>
    </w:p>
    <w:p>
      <w:pPr>
        <w:spacing w:after="0" w:line="2"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Permitted Refinancing</w:t>
      </w:r>
      <w:r>
        <w:rPr>
          <w:rFonts w:ascii="Times New Roman" w:cs="Times New Roman" w:eastAsia="Times New Roman" w:hAnsi="Times New Roman"/>
          <w:sz w:val="14"/>
          <w:szCs w:val="14"/>
          <w:color w:val="auto"/>
        </w:rPr>
        <w:t>” means, with respect to any Debt, any refinancings or refundings thereof; provided that (a) the principal amount (or accreted value, if applicable) of such Debt is not increased at the time of such refinancing or refunding from the principal amount (or accreted value, if applicable) of such refinanced or refunded Debt outstanding immediately prior to such refinancing or refunding, except by an amount equal to a reasonable premium or other reasonable amount paid, and fees and expenses reasonably incurred, in connection with such refinancing, (b) the average life to maturity of any refinancing or refunding of such Debt permitted hereby is not less than the then average life to maturity of the Debt so refinanced or replaced, (c) the direct or contingent obligors with respect to such Debt provided comparable credit accommodations with respect to the Debt being refinanced or refunded (provided that additional obligors may be added so long as such additional obligors are Loan Parties pursuant to the Loan Documents), (d) any refinancing or refunding of Subordinated Debt shall be on terms no less favorable to Administrative Agent and the Lenders (taken as a whole), and no more restrictive to the Loan Parties (taken as a whole), than the Subordinated Debt being refinanced or refunded, (e) the all-in-yield applicable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1300"/>
          </w:cols>
          <w:pgMar w:left="300" w:top="287" w:right="299" w:bottom="1440" w:gutter="0" w:footer="0" w:header="0"/>
        </w:sectPr>
      </w:pPr>
    </w:p>
    <w:bookmarkStart w:id="119" w:name="page120"/>
    <w:bookmarkEnd w:id="119"/>
    <w:p>
      <w:pPr>
        <w:ind w:left="1068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to any such refinancing or refunding Debt does not exceed the all-in-yield for the Debt being refinanced or refunded or, if greater, the market all-in-yield for similar Debt at such time, and (f) such refinancing or refunding does not impair or restrict, in any material respect greater than as contained in the Debt being refinanced or refunded, the ability of the Loan Parties to make distributions or transfer money and other property to or otherwise enter into transactions among the other Loan Parties.</w:t>
      </w:r>
    </w:p>
    <w:p>
      <w:pPr>
        <w:spacing w:after="0" w:line="1"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Person</w:t>
      </w:r>
      <w:r>
        <w:rPr>
          <w:rFonts w:ascii="Times New Roman" w:cs="Times New Roman" w:eastAsia="Times New Roman" w:hAnsi="Times New Roman"/>
          <w:sz w:val="14"/>
          <w:szCs w:val="14"/>
          <w:color w:val="auto"/>
        </w:rPr>
        <w:t>” means any natural person, corporation, limited liability company, trust, association, company, partnership, joint venture, Governmental Authority, or other entity, and shall include such Person’s heirs, administrators, personal representatives, executors, successors and assigns.</w:t>
      </w:r>
    </w:p>
    <w:p>
      <w:pPr>
        <w:jc w:val="both"/>
        <w:ind w:right="20" w:firstLine="43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Plan</w:t>
      </w:r>
      <w:r>
        <w:rPr>
          <w:rFonts w:ascii="Times New Roman" w:cs="Times New Roman" w:eastAsia="Times New Roman" w:hAnsi="Times New Roman"/>
          <w:sz w:val="14"/>
          <w:szCs w:val="14"/>
          <w:color w:val="auto"/>
        </w:rPr>
        <w:t>” means any employee benefit or other plan, other than a Multiemployer Plan, established or maintained by, or for which there is an obligation to make contributions by or there is any liability, contingent or otherwise with respect to a Borrower or any ERISA Affiliate and which is covered by Title IV of ERISA or subject to Section 412 of the Code.</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Plan Asset Regulations</w:t>
      </w:r>
      <w:r>
        <w:rPr>
          <w:rFonts w:ascii="Times New Roman" w:cs="Times New Roman" w:eastAsia="Times New Roman" w:hAnsi="Times New Roman"/>
          <w:sz w:val="14"/>
          <w:szCs w:val="14"/>
          <w:color w:val="auto"/>
        </w:rPr>
        <w:t>” means 29 CFR § 2510.3-101 et seq., as modified by Section 3(42) of ERISA, as amended from time to time.</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Platform</w:t>
      </w:r>
      <w:r>
        <w:rPr>
          <w:rFonts w:ascii="Times New Roman" w:cs="Times New Roman" w:eastAsia="Times New Roman" w:hAnsi="Times New Roman"/>
          <w:sz w:val="14"/>
          <w:szCs w:val="14"/>
          <w:color w:val="auto"/>
        </w:rPr>
        <w:t>” means Debt Domain, Intralinks, Syndtrak or a substantially similar electronic transmission system.</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Prime Rate</w:t>
      </w:r>
      <w:r>
        <w:rPr>
          <w:rFonts w:ascii="Times New Roman" w:cs="Times New Roman" w:eastAsia="Times New Roman" w:hAnsi="Times New Roman"/>
          <w:sz w:val="14"/>
          <w:szCs w:val="14"/>
          <w:color w:val="auto"/>
        </w:rPr>
        <w:t xml:space="preserve">” means the rate of interest published by </w:t>
      </w:r>
      <w:r>
        <w:rPr>
          <w:rFonts w:ascii="Times New Roman" w:cs="Times New Roman" w:eastAsia="Times New Roman" w:hAnsi="Times New Roman"/>
          <w:sz w:val="14"/>
          <w:szCs w:val="14"/>
          <w:i w:val="1"/>
          <w:iCs w:val="1"/>
          <w:color w:val="auto"/>
        </w:rPr>
        <w:t>The Wall Street Journal</w:t>
      </w:r>
      <w:r>
        <w:rPr>
          <w:rFonts w:ascii="Times New Roman" w:cs="Times New Roman" w:eastAsia="Times New Roman" w:hAnsi="Times New Roman"/>
          <w:sz w:val="14"/>
          <w:szCs w:val="14"/>
          <w:color w:val="auto"/>
        </w:rPr>
        <w:t>, from time to time, as the “U.S. Prime Rate”.</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Principal Office</w:t>
      </w:r>
      <w:r>
        <w:rPr>
          <w:rFonts w:ascii="Times New Roman" w:cs="Times New Roman" w:eastAsia="Times New Roman" w:hAnsi="Times New Roman"/>
          <w:sz w:val="14"/>
          <w:szCs w:val="14"/>
          <w:color w:val="auto"/>
        </w:rPr>
        <w:t xml:space="preserve">” means the principal office of Administrative Agent, presently located at the address set forth on </w:t>
      </w:r>
      <w:r>
        <w:rPr>
          <w:rFonts w:ascii="Times New Roman" w:cs="Times New Roman" w:eastAsia="Times New Roman" w:hAnsi="Times New Roman"/>
          <w:sz w:val="14"/>
          <w:szCs w:val="14"/>
          <w:b w:val="1"/>
          <w:bCs w:val="1"/>
          <w:i w:val="1"/>
          <w:iCs w:val="1"/>
          <w:color w:val="auto"/>
        </w:rPr>
        <w:t>Schedule 11.11</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Prohibited Transaction</w:t>
      </w:r>
      <w:r>
        <w:rPr>
          <w:rFonts w:ascii="Times New Roman" w:cs="Times New Roman" w:eastAsia="Times New Roman" w:hAnsi="Times New Roman"/>
          <w:sz w:val="14"/>
          <w:szCs w:val="14"/>
          <w:color w:val="auto"/>
        </w:rPr>
        <w:t>” means any transaction set forth in Section 406 of ERISA or Section 4975 of the Code.</w:t>
      </w:r>
    </w:p>
    <w:p>
      <w:pPr>
        <w:spacing w:after="0" w:line="3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Property</w:t>
      </w:r>
      <w:r>
        <w:rPr>
          <w:rFonts w:ascii="Times New Roman" w:cs="Times New Roman" w:eastAsia="Times New Roman" w:hAnsi="Times New Roman"/>
          <w:sz w:val="14"/>
          <w:szCs w:val="14"/>
          <w:color w:val="auto"/>
        </w:rPr>
        <w:t>” means, with respect to any Person, any and all property, whether real, personal, tangible, intangible or mixed, of such Person, or any other assets owned, operated or leased by such Person.</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PTE</w:t>
      </w:r>
      <w:r>
        <w:rPr>
          <w:rFonts w:ascii="Times New Roman" w:cs="Times New Roman" w:eastAsia="Times New Roman" w:hAnsi="Times New Roman"/>
          <w:sz w:val="14"/>
          <w:szCs w:val="14"/>
          <w:color w:val="auto"/>
        </w:rPr>
        <w:t>” means a prohibited transaction class exemption issued by the U.S. Department of Labor, as any such exemption may be amended from time to time.</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Public Lender</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11.11(e)</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Purchase Money Debt</w:t>
      </w:r>
      <w:r>
        <w:rPr>
          <w:rFonts w:ascii="Times New Roman" w:cs="Times New Roman" w:eastAsia="Times New Roman" w:hAnsi="Times New Roman"/>
          <w:sz w:val="14"/>
          <w:szCs w:val="14"/>
          <w:color w:val="auto"/>
        </w:rPr>
        <w:t>” means Debt, the proceeds of which are used to finance the acquisition, lease, completion of construction, repair of, replacement, improvement to or installation of any Property; provided, however, that such Debt is incurred no later than 180 days after such acquisition, leasing, completion, construction, repairment, replacement, improvement or installation.</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QFC</w:t>
      </w:r>
      <w:r>
        <w:rPr>
          <w:rFonts w:ascii="Times New Roman" w:cs="Times New Roman" w:eastAsia="Times New Roman" w:hAnsi="Times New Roman"/>
          <w:sz w:val="14"/>
          <w:szCs w:val="14"/>
          <w:color w:val="auto"/>
        </w:rPr>
        <w:t>” has the meaning assigned to the term “qualified financial contract” in, and shall be interpreted in accordance with, 12 U.S.C. 5390(c)(8)(D).</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QFC Credit Support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11.30</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Qualified ECP Guarantor</w:t>
      </w:r>
      <w:r>
        <w:rPr>
          <w:rFonts w:ascii="Times New Roman" w:cs="Times New Roman" w:eastAsia="Times New Roman" w:hAnsi="Times New Roman"/>
          <w:sz w:val="14"/>
          <w:szCs w:val="14"/>
          <w:color w:val="auto"/>
        </w:rPr>
        <w:t>” means, at any time, each Loan Party with total assets exceeding $10,000,000 or that qualifies at such time as an “eligible contract participant” under the Commodity Exchange Act or any regulation promulgated thereunder and can cause another Person to qualify as an “eligible contract participant” at such time under Section 1a(18)(A)(v)(II) of the Commodity Exchange Act.</w:t>
      </w:r>
    </w:p>
    <w:p>
      <w:pPr>
        <w:spacing w:after="0" w:line="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Qualified Financial Institution</w:t>
      </w:r>
      <w:r>
        <w:rPr>
          <w:rFonts w:ascii="Times New Roman" w:cs="Times New Roman" w:eastAsia="Times New Roman" w:hAnsi="Times New Roman"/>
          <w:sz w:val="14"/>
          <w:szCs w:val="14"/>
          <w:color w:val="auto"/>
        </w:rPr>
        <w:t>” means any financial institution that is a commercial bank (or an Affiliate thereof, including an investment bank, but excluding any special situation investor), which is regularly engaged in making, purchasing, holding or otherwise investing in revolving commercial loans and similar extensions of credit in asset-based, secured revolving credit facilities in the United States.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Receipts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2.12(a)</w:t>
      </w:r>
      <w:r>
        <w:rPr>
          <w:rFonts w:ascii="Times New Roman" w:cs="Times New Roman" w:eastAsia="Times New Roman" w:hAnsi="Times New Roman"/>
          <w:sz w:val="14"/>
          <w:szCs w:val="14"/>
          <w:color w:val="auto"/>
        </w:rPr>
        <w:t>.</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Recipient</w:t>
      </w:r>
      <w:r>
        <w:rPr>
          <w:rFonts w:ascii="Times New Roman" w:cs="Times New Roman" w:eastAsia="Times New Roman" w:hAnsi="Times New Roman"/>
          <w:sz w:val="14"/>
          <w:szCs w:val="14"/>
          <w:color w:val="auto"/>
        </w:rPr>
        <w:t>” means Administrative Agent, L/C Issuer, Swing Line Lender, or any Lender, as applicable.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1300"/>
          </w:cols>
          <w:pgMar w:left="300" w:top="287" w:right="29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Register</w:t>
      </w:r>
      <w:r>
        <w:rPr>
          <w:rFonts w:ascii="Times New Roman" w:cs="Times New Roman" w:eastAsia="Times New Roman" w:hAnsi="Times New Roman"/>
          <w:sz w:val="14"/>
          <w:szCs w:val="14"/>
          <w:color w:val="auto"/>
        </w:rPr>
        <w:t>” means a register for the recordation of the names and addresses of Lenders, and the Commitments of, and principal amounts of and stated interest on the Loans owing to, each Lender pursuant to the terms hereof from time to time.</w:t>
      </w: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Related Indebtedness</w:t>
      </w:r>
      <w:r>
        <w:rPr>
          <w:rFonts w:ascii="Times New Roman" w:cs="Times New Roman" w:eastAsia="Times New Roman" w:hAnsi="Times New Roman"/>
          <w:sz w:val="14"/>
          <w:szCs w:val="14"/>
          <w:color w:val="auto"/>
        </w:rPr>
        <w:t>” means any and all indebtedness paid or payable by any Borrower or any other Loan Party to Administrative Agent or any Lender pursuant to any Loan Document other than any Note.</w:t>
      </w:r>
    </w:p>
    <w:p>
      <w:pPr>
        <w:jc w:val="both"/>
        <w:ind w:firstLine="432"/>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Related Parties</w:t>
      </w:r>
      <w:r>
        <w:rPr>
          <w:rFonts w:ascii="Times New Roman" w:cs="Times New Roman" w:eastAsia="Times New Roman" w:hAnsi="Times New Roman"/>
          <w:sz w:val="14"/>
          <w:szCs w:val="14"/>
          <w:color w:val="auto"/>
        </w:rPr>
        <w:t>” means, with respect to any Person, such Person’s Affiliates and the partners, directors, officers, employees, agents, sub agents, trustees, administrators, managers, advisors and representatives of such Person and of such Person’s Affiliates.</w:t>
      </w:r>
    </w:p>
    <w:p>
      <w:pPr>
        <w:jc w:val="both"/>
        <w:ind w:firstLine="432"/>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Release</w:t>
      </w:r>
      <w:r>
        <w:rPr>
          <w:rFonts w:ascii="Times New Roman" w:cs="Times New Roman" w:eastAsia="Times New Roman" w:hAnsi="Times New Roman"/>
          <w:sz w:val="14"/>
          <w:szCs w:val="14"/>
          <w:color w:val="auto"/>
        </w:rPr>
        <w:t>” means, as to any Person, any release, spill, emission, leaking, pumping, injection, deposit, disposal, disbursement, leaching, or migration of Hazardous Materials into the indoor or outdoor environment or into or out of Property owned by such Person, including, without limitation, the movement of Hazardous Materials through or in the air, soil, surface water, ground water, or Property.</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Release Date</w:t>
      </w:r>
      <w:r>
        <w:rPr>
          <w:rFonts w:ascii="Times New Roman" w:cs="Times New Roman" w:eastAsia="Times New Roman" w:hAnsi="Times New Roman"/>
          <w:sz w:val="14"/>
          <w:szCs w:val="14"/>
          <w:color w:val="auto"/>
        </w:rPr>
        <w:t xml:space="preserve">” means the last to occur of the dates on which Liens securing the Obligations may be released pursuant to </w:t>
      </w:r>
      <w:r>
        <w:rPr>
          <w:rFonts w:ascii="Times New Roman" w:cs="Times New Roman" w:eastAsia="Times New Roman" w:hAnsi="Times New Roman"/>
          <w:sz w:val="14"/>
          <w:szCs w:val="14"/>
          <w:b w:val="1"/>
          <w:bCs w:val="1"/>
          <w:i w:val="1"/>
          <w:iCs w:val="1"/>
          <w:color w:val="auto"/>
        </w:rPr>
        <w:t>Section 10.9(a)(i)(A)</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Relevant Governmental Body</w:t>
      </w:r>
      <w:r>
        <w:rPr>
          <w:rFonts w:ascii="Times New Roman" w:cs="Times New Roman" w:eastAsia="Times New Roman" w:hAnsi="Times New Roman"/>
          <w:sz w:val="14"/>
          <w:szCs w:val="14"/>
          <w:color w:val="auto"/>
        </w:rPr>
        <w:t>” means the Board of Governors or the Federal Reserve Bank of New York, or a committee officially endorsed or convened by the Board of Governors or the Federal Reserve Bank of New York, or any successor thereto.</w:t>
      </w:r>
    </w:p>
    <w:p>
      <w:pPr>
        <w:jc w:val="both"/>
        <w:ind w:firstLine="432"/>
        <w:spacing w:after="0" w:line="18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Remedial Action</w:t>
      </w:r>
      <w:r>
        <w:rPr>
          <w:rFonts w:ascii="Times New Roman" w:cs="Times New Roman" w:eastAsia="Times New Roman" w:hAnsi="Times New Roman"/>
          <w:sz w:val="14"/>
          <w:szCs w:val="14"/>
          <w:color w:val="auto"/>
        </w:rPr>
        <w:t>” means all actions required to (a) clean up, remove, treat, or otherwise address Hazardous Materials in the indoor or outdoor environment, (b) prevent the Release or threat of Release or minimize the further Release of Hazardous Materials so that they do not migrate or endanger or threaten to endanger public health or welfare or the indoor or outdoor environment, or (c) perform pre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remedial studies and investigations and post-remedial monitoring and care.</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Removal Effective Date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10.6(b)</w:t>
      </w:r>
      <w:r>
        <w:rPr>
          <w:rFonts w:ascii="Times New Roman" w:cs="Times New Roman" w:eastAsia="Times New Roman" w:hAnsi="Times New Roman"/>
          <w:sz w:val="14"/>
          <w:szCs w:val="14"/>
          <w:color w:val="auto"/>
        </w:rPr>
        <w:t>.</w:t>
      </w:r>
    </w:p>
    <w:p>
      <w:pPr>
        <w:spacing w:after="0" w:line="21"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Rent Reserve</w:t>
      </w:r>
      <w:r>
        <w:rPr>
          <w:rFonts w:ascii="Times New Roman" w:cs="Times New Roman" w:eastAsia="Times New Roman" w:hAnsi="Times New Roman"/>
          <w:sz w:val="14"/>
          <w:szCs w:val="14"/>
          <w:color w:val="auto"/>
        </w:rPr>
        <w:t>” means, with respect to any facility, warehouse distribution center, regional distribution center or depot where any Inventory subject to Liens arising by operation of law is located and with respect to which no Collateral Access Agreement is in effect, a reserve equal to (a) in the case of any leased location, all rent, charges and fees scheduled or customarily falling due for payment during (i) a two (2) month period at such facility, warehouse distribution center, regional distribution center or depot where any Inventory (other than Compressor Units) is stored or located and (ii) a six (6) month period at such facility, warehouse distribution center, regional distribution center or depot where any Compressor Units are stored or located, and (b) in the case of any other location, an amount determined by Administrative Agent in its Permitted Discretion in respect of liabilities owed to the applicable consignee, bailee, processor or warehouseman.</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Reportable Event</w:t>
      </w:r>
      <w:r>
        <w:rPr>
          <w:rFonts w:ascii="Times New Roman" w:cs="Times New Roman" w:eastAsia="Times New Roman" w:hAnsi="Times New Roman"/>
          <w:sz w:val="14"/>
          <w:szCs w:val="14"/>
          <w:color w:val="auto"/>
        </w:rPr>
        <w:t>” means any of the events set forth in Section 4043 of ERISA.</w:t>
      </w:r>
    </w:p>
    <w:p>
      <w:pPr>
        <w:spacing w:after="0" w:line="37"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Required Lenders</w:t>
      </w:r>
      <w:r>
        <w:rPr>
          <w:rFonts w:ascii="Times New Roman" w:cs="Times New Roman" w:eastAsia="Times New Roman" w:hAnsi="Times New Roman"/>
          <w:sz w:val="14"/>
          <w:szCs w:val="14"/>
          <w:color w:val="auto"/>
        </w:rPr>
        <w:t xml:space="preserve">” means, as of any date of determination, Lenders holding more than 50% of the sum of (a) the Revolving Credit Exposure of all Lenders (with the aggregate amount of each Lender’s risk participation and funded participation in L/C Obligations and Swing Line Loans being deemed “held” by such Lender for purposes of this definition) and (b) aggregate unused Commitments;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one Lender holds more than 50% but less than 100% of the sum of the Revolving Credit Exposure and the unused Commitments at such time, subject to the last sentence of </w:t>
      </w:r>
      <w:r>
        <w:rPr>
          <w:rFonts w:ascii="Times New Roman" w:cs="Times New Roman" w:eastAsia="Times New Roman" w:hAnsi="Times New Roman"/>
          <w:sz w:val="14"/>
          <w:szCs w:val="14"/>
          <w:b w:val="1"/>
          <w:bCs w:val="1"/>
          <w:i w:val="1"/>
          <w:iCs w:val="1"/>
          <w:color w:val="auto"/>
        </w:rPr>
        <w:t>Section 11.10</w:t>
      </w:r>
      <w:r>
        <w:rPr>
          <w:rFonts w:ascii="Times New Roman" w:cs="Times New Roman" w:eastAsia="Times New Roman" w:hAnsi="Times New Roman"/>
          <w:sz w:val="14"/>
          <w:szCs w:val="14"/>
          <w:color w:val="auto"/>
        </w:rPr>
        <w:t>, Required Lenders shall be at least two unaffiliated Lenders. The unused Commitment of, and the portion of the Revolving Credit Exposure of all Lenders held or deemed held by, any Defaulting Lender shall be excluded for purposes of making a determination of Required Lenders.</w:t>
      </w:r>
    </w:p>
    <w:p>
      <w:pPr>
        <w:spacing w:after="0" w:line="2"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Required Supermajority Lenders</w:t>
      </w:r>
      <w:r>
        <w:rPr>
          <w:rFonts w:ascii="Times New Roman" w:cs="Times New Roman" w:eastAsia="Times New Roman" w:hAnsi="Times New Roman"/>
          <w:sz w:val="14"/>
          <w:szCs w:val="14"/>
          <w:color w:val="auto"/>
        </w:rPr>
        <w:t xml:space="preserve">” means, as of any date of determination, Lenders holding more than 66 2/3% of (a) the Revolving Credit Exposure of all Lenders (with the aggregate amount of each Lender’s risk participation and funded participation in L/C Obligations and Swing Line Loans being deemed “held” by such Lender for purposes of this definition) and (b) aggregate unused Commitments;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one Lender holds more than 66 2/3% but less than 100% of the sum of the Revolving</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1300"/>
          </w:cols>
          <w:pgMar w:left="300" w:top="287" w:right="299" w:bottom="1440" w:gutter="0" w:footer="0" w:header="0"/>
        </w:sectPr>
      </w:pPr>
    </w:p>
    <w:bookmarkStart w:id="121" w:name="page122"/>
    <w:bookmarkEnd w:id="121"/>
    <w:p>
      <w:pPr>
        <w:ind w:left="1068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Credit Exposure and the unused Commitments at such time, subject to the last sentence of </w:t>
      </w:r>
      <w:r>
        <w:rPr>
          <w:rFonts w:ascii="Times New Roman" w:cs="Times New Roman" w:eastAsia="Times New Roman" w:hAnsi="Times New Roman"/>
          <w:sz w:val="14"/>
          <w:szCs w:val="14"/>
          <w:b w:val="1"/>
          <w:bCs w:val="1"/>
          <w:i w:val="1"/>
          <w:iCs w:val="1"/>
          <w:color w:val="auto"/>
        </w:rPr>
        <w:t>Section 11.10</w:t>
      </w:r>
      <w:r>
        <w:rPr>
          <w:rFonts w:ascii="Times New Roman" w:cs="Times New Roman" w:eastAsia="Times New Roman" w:hAnsi="Times New Roman"/>
          <w:sz w:val="14"/>
          <w:szCs w:val="14"/>
          <w:color w:val="auto"/>
        </w:rPr>
        <w:t>, Required Supermajority Lenders shall be at least two unaffiliated Lenders. The unused Commitment of, and the portion of the Revolving Credit Exposure of all Lenders held or deemed held by, any Defaulting Lender shall be excluded for purposes of making a determination of Required Supermajority Lenders.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Resignation Effective Date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10.6(a)</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Resolution Authority</w:t>
      </w:r>
      <w:r>
        <w:rPr>
          <w:rFonts w:ascii="Times New Roman" w:cs="Times New Roman" w:eastAsia="Times New Roman" w:hAnsi="Times New Roman"/>
          <w:sz w:val="14"/>
          <w:szCs w:val="14"/>
          <w:color w:val="auto"/>
        </w:rPr>
        <w:t>” means an EEA Resolution Authority or, with respect to any UK Financial Institution, a UK Resolution Authority.</w:t>
      </w:r>
    </w:p>
    <w:p>
      <w:pPr>
        <w:spacing w:after="0" w:line="37" w:lineRule="exact"/>
        <w:rPr>
          <w:sz w:val="20"/>
          <w:szCs w:val="20"/>
          <w:color w:val="auto"/>
        </w:rPr>
      </w:pPr>
    </w:p>
    <w:p>
      <w:pPr>
        <w:jc w:val="both"/>
        <w:ind w:firstLine="432"/>
        <w:spacing w:after="0" w:line="24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Responsible Officer</w:t>
      </w:r>
      <w:r>
        <w:rPr>
          <w:rFonts w:ascii="Times New Roman" w:cs="Times New Roman" w:eastAsia="Times New Roman" w:hAnsi="Times New Roman"/>
          <w:sz w:val="14"/>
          <w:szCs w:val="14"/>
          <w:color w:val="auto"/>
        </w:rPr>
        <w:t xml:space="preserve">” means the chief executive officer, president, chief financial officer, or treasurer of a Loan Party (or the chief executive officer, president, chief financial officer, or treasurer of the general partner or managing member of a Loan Party, as applicable); solely for purposes of the delivery of incumbency certificates pursuant to </w:t>
      </w:r>
      <w:r>
        <w:rPr>
          <w:rFonts w:ascii="Times New Roman" w:cs="Times New Roman" w:eastAsia="Times New Roman" w:hAnsi="Times New Roman"/>
          <w:sz w:val="14"/>
          <w:szCs w:val="14"/>
          <w:b w:val="1"/>
          <w:bCs w:val="1"/>
          <w:i w:val="1"/>
          <w:iCs w:val="1"/>
          <w:color w:val="auto"/>
        </w:rPr>
        <w:t>Section 4.1</w:t>
      </w:r>
      <w:r>
        <w:rPr>
          <w:rFonts w:ascii="Times New Roman" w:cs="Times New Roman" w:eastAsia="Times New Roman" w:hAnsi="Times New Roman"/>
          <w:sz w:val="14"/>
          <w:szCs w:val="14"/>
          <w:color w:val="auto"/>
        </w:rPr>
        <w:t xml:space="preserve">, the secretary or assistant secretary of a Loan Party (or the secretary or any assistant secretary of the general partner or managing member of a Loan Party, as applicable) or any Person designated by a Responsible Officer to act on behalf of a Responsible Officer;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designated Person may not designate any other Person to be a Responsible Officer. Any document delivered hereunder that is signed by a Responsible Officer of a Loan Party shall be conclusively presumed to have been authorized by all necessary corporate, partnership and/or other action on the part of such Person and such Responsible Officer shall be conclusively presumed to have acted on behalf of such Loan Party.</w:t>
      </w:r>
    </w:p>
    <w:p>
      <w:pPr>
        <w:spacing w:after="0" w:line="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Restricted Payment</w:t>
      </w:r>
      <w:r>
        <w:rPr>
          <w:rFonts w:ascii="Times New Roman" w:cs="Times New Roman" w:eastAsia="Times New Roman" w:hAnsi="Times New Roman"/>
          <w:sz w:val="14"/>
          <w:szCs w:val="14"/>
          <w:color w:val="auto"/>
        </w:rPr>
        <w:t>” means, collectively, (a) any dividend or other distribution (whether in cash, securities or other Property) with respect to any capital stock or other Equity Interest of Holdings or any Subsidiary thereof, (b) any payment (whether in cash, securities or other Property), including any sinking fund or similar deposit, on account of the purchase, redemption, retirement, acquisition, cancellation or termination of any capital stock or other Equity Interest or on account of any return of capital to Holdings’ stockholders, partners or members (or the equivalent Person thereof) and (c) any payment of management, advisory or similar fees to any holders of Equity Interests of a Loan Party or their Affiliates.</w:t>
      </w:r>
    </w:p>
    <w:p>
      <w:pPr>
        <w:spacing w:after="0" w:line="2"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Revolving Credit Borrowing</w:t>
      </w:r>
      <w:r>
        <w:rPr>
          <w:rFonts w:ascii="Times New Roman" w:cs="Times New Roman" w:eastAsia="Times New Roman" w:hAnsi="Times New Roman"/>
          <w:sz w:val="14"/>
          <w:szCs w:val="14"/>
          <w:color w:val="auto"/>
        </w:rPr>
        <w:t>” means a borrowing consisting of simultaneous Revolving Credit Loans of the same Type and, in the case of Term SOFR Loans, having the same Interest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Period made by each of the Lenders pursuant to </w:t>
      </w:r>
      <w:r>
        <w:rPr>
          <w:rFonts w:ascii="Times New Roman" w:cs="Times New Roman" w:eastAsia="Times New Roman" w:hAnsi="Times New Roman"/>
          <w:sz w:val="14"/>
          <w:szCs w:val="14"/>
          <w:b w:val="1"/>
          <w:bCs w:val="1"/>
          <w:i w:val="1"/>
          <w:iCs w:val="1"/>
          <w:color w:val="auto"/>
        </w:rPr>
        <w:t>Section 2.1(a)</w:t>
      </w:r>
      <w:r>
        <w:rPr>
          <w:rFonts w:ascii="Times New Roman" w:cs="Times New Roman" w:eastAsia="Times New Roman" w:hAnsi="Times New Roman"/>
          <w:sz w:val="14"/>
          <w:szCs w:val="14"/>
          <w:color w:val="auto"/>
        </w:rPr>
        <w:t>.</w:t>
      </w: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Revolving Credit Exposure</w:t>
      </w:r>
      <w:r>
        <w:rPr>
          <w:rFonts w:ascii="Times New Roman" w:cs="Times New Roman" w:eastAsia="Times New Roman" w:hAnsi="Times New Roman"/>
          <w:sz w:val="14"/>
          <w:szCs w:val="14"/>
          <w:color w:val="auto"/>
        </w:rPr>
        <w:t>” means, as to any Lender at any time, the aggregate Outstanding Amount of its Revolving Credit Loans and such Lender’s participation in L/C Obligations and Swing Line Loans at such time.</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Revolving Credit Facility</w:t>
      </w:r>
      <w:r>
        <w:rPr>
          <w:rFonts w:ascii="Times New Roman" w:cs="Times New Roman" w:eastAsia="Times New Roman" w:hAnsi="Times New Roman"/>
          <w:sz w:val="14"/>
          <w:szCs w:val="14"/>
          <w:color w:val="auto"/>
        </w:rPr>
        <w:t>” means, at any time, the aggregate amount of the Lenders’ Commitments at such time. “</w:t>
      </w:r>
      <w:r>
        <w:rPr>
          <w:rFonts w:ascii="Times New Roman" w:cs="Times New Roman" w:eastAsia="Times New Roman" w:hAnsi="Times New Roman"/>
          <w:sz w:val="14"/>
          <w:szCs w:val="14"/>
          <w:b w:val="1"/>
          <w:bCs w:val="1"/>
          <w:i w:val="1"/>
          <w:iCs w:val="1"/>
          <w:color w:val="auto"/>
        </w:rPr>
        <w:t>Revolving Credit Loan</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2.1(a)</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RICO</w:t>
      </w:r>
      <w:r>
        <w:rPr>
          <w:rFonts w:ascii="Times New Roman" w:cs="Times New Roman" w:eastAsia="Times New Roman" w:hAnsi="Times New Roman"/>
          <w:sz w:val="14"/>
          <w:szCs w:val="14"/>
          <w:color w:val="auto"/>
        </w:rPr>
        <w:t>” means the Racketeer Influenced and Corrupt Organization Act of 1970.</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S&amp;P</w:t>
      </w:r>
      <w:r>
        <w:rPr>
          <w:rFonts w:ascii="Times New Roman" w:cs="Times New Roman" w:eastAsia="Times New Roman" w:hAnsi="Times New Roman"/>
          <w:sz w:val="14"/>
          <w:szCs w:val="14"/>
          <w:color w:val="auto"/>
        </w:rPr>
        <w:t>” means S&amp;P Global Ratings, a S&amp;P Global Inc. business and any successor thereto that is a nationally-recognized rating agency.</w:t>
      </w:r>
    </w:p>
    <w:p>
      <w:pPr>
        <w:spacing w:after="0" w:line="3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Sanctioned Country</w:t>
      </w:r>
      <w:r>
        <w:rPr>
          <w:rFonts w:ascii="Times New Roman" w:cs="Times New Roman" w:eastAsia="Times New Roman" w:hAnsi="Times New Roman"/>
          <w:sz w:val="14"/>
          <w:szCs w:val="14"/>
          <w:color w:val="auto"/>
        </w:rPr>
        <w:t>” means, at any time, a country, region or territory which is itself (or whose government is) the subject or target of any Sanctions (including, as of the Closing Date, the so-called Donetsk People’s Republic and the so-called Luhansk People’s Republic, the Crimea, Zaporizhzhia and Kherson Regions of Ukraine, Cuba, Iran, North Korea and Syria).</w:t>
      </w:r>
    </w:p>
    <w:p>
      <w:pPr>
        <w:jc w:val="both"/>
        <w:ind w:firstLine="432"/>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Sanctioned Person</w:t>
      </w:r>
      <w:r>
        <w:rPr>
          <w:rFonts w:ascii="Times New Roman" w:cs="Times New Roman" w:eastAsia="Times New Roman" w:hAnsi="Times New Roman"/>
          <w:sz w:val="14"/>
          <w:szCs w:val="14"/>
          <w:color w:val="auto"/>
        </w:rPr>
        <w:t>” means, at any time, (a) any Person listed in any Sanctions-related list of designated Persons maintained by OFAC (including OFAC’s Specially Designated Nationals and Blocked Persons List and OFAC’s Consolidated Non-SDN List), the U.S. Department of State or by the United Nations Security Council, the European Union, any European Union member state or His Majesty’s Treasury of the United Kingdom, (b) any Person operating, organized or resident in a Sanctioned Country or (c) any Person owned or controlled by any such Person or Persons, in each case, to the extent dealings are prohibited or restricted with such Person under Sanctions.</w:t>
      </w:r>
    </w:p>
    <w:p>
      <w:pPr>
        <w:spacing w:after="0" w:line="2" w:lineRule="exact"/>
        <w:rPr>
          <w:sz w:val="20"/>
          <w:szCs w:val="20"/>
          <w:color w:val="auto"/>
        </w:rPr>
      </w:pPr>
    </w:p>
    <w:p>
      <w:pPr>
        <w:jc w:val="both"/>
        <w:ind w:right="20" w:firstLine="432"/>
        <w:spacing w:after="0" w:line="28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Sanctions</w:t>
      </w:r>
      <w:r>
        <w:rPr>
          <w:rFonts w:ascii="Times New Roman" w:cs="Times New Roman" w:eastAsia="Times New Roman" w:hAnsi="Times New Roman"/>
          <w:sz w:val="14"/>
          <w:szCs w:val="14"/>
          <w:color w:val="auto"/>
        </w:rPr>
        <w:t>” means economic or financial sanctions, sectoral sanctions, secondary sanctions, trade embargoes and restrictions imposed, administered or enforced from time to time by the U.S. government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1300"/>
          </w:cols>
          <w:pgMar w:left="300" w:top="287" w:right="29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4"/>
          <w:szCs w:val="14"/>
          <w:color w:val="auto"/>
        </w:rPr>
        <w:t>(including those administered by OFAC or the U.S. Department of State), the United Nations Security Council, the European Union, any European Union member state or His Majesty’s Treasury of the United Kingdom, or other relevant sanctions authority in which (a) any Loan Party or any of their Subsidiaries or Affiliates is located or conducts business, (b) in which any of the proceeds of the Credit Extensions will be used, or (c) from which repayment of the Obligations will be derived.</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Scheduled Unavailability Date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3.3(b)(vi)</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w:t>
      </w:r>
      <w:r>
        <w:rPr>
          <w:rFonts w:ascii="Times New Roman" w:cs="Times New Roman" w:eastAsia="Times New Roman" w:hAnsi="Times New Roman"/>
          <w:sz w:val="14"/>
          <w:szCs w:val="14"/>
          <w:color w:val="auto"/>
        </w:rPr>
        <w:t>” means the Securities and Exchange Commission or any successor Governmental Authority.</w:t>
      </w:r>
    </w:p>
    <w:p>
      <w:pPr>
        <w:spacing w:after="0" w:line="37"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Second Amendment</w:t>
      </w:r>
      <w:r>
        <w:rPr>
          <w:rFonts w:ascii="Times New Roman" w:cs="Times New Roman" w:eastAsia="Times New Roman" w:hAnsi="Times New Roman"/>
          <w:sz w:val="14"/>
          <w:szCs w:val="14"/>
          <w:color w:val="auto"/>
        </w:rPr>
        <w:t>” means that certain Second Amendment to Amended and Restated Credit Agreement dated as of the Second Amendment Effective Date, by and among Holdings, the other Borrowers and Loan Parties party thereto, the Administrative Agent and the Lenders party thereto.</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Second Amendment Effective Date</w:t>
      </w:r>
      <w:r>
        <w:rPr>
          <w:rFonts w:ascii="Times New Roman" w:cs="Times New Roman" w:eastAsia="Times New Roman" w:hAnsi="Times New Roman"/>
          <w:sz w:val="14"/>
          <w:szCs w:val="14"/>
          <w:color w:val="auto"/>
        </w:rPr>
        <w:t>” means June 6, 2024.</w:t>
      </w:r>
    </w:p>
    <w:p>
      <w:pPr>
        <w:spacing w:after="0" w:line="3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Secured Parties</w:t>
      </w:r>
      <w:r>
        <w:rPr>
          <w:rFonts w:ascii="Times New Roman" w:cs="Times New Roman" w:eastAsia="Times New Roman" w:hAnsi="Times New Roman"/>
          <w:sz w:val="14"/>
          <w:szCs w:val="14"/>
          <w:color w:val="auto"/>
        </w:rPr>
        <w:t>” means the collective reference to Administrative Agent, each Lender, L/C Issuer, Swing Line Lender, each Bank Product Provider, and any other Person the Obligations owing to which are, or are purported to be, secured by the Collateral under the terms of the Security Documents.</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 Account Control Agreement</w:t>
      </w:r>
      <w:r>
        <w:rPr>
          <w:rFonts w:ascii="Times New Roman" w:cs="Times New Roman" w:eastAsia="Times New Roman" w:hAnsi="Times New Roman"/>
          <w:sz w:val="14"/>
          <w:szCs w:val="14"/>
          <w:color w:val="auto"/>
        </w:rPr>
        <w:t>” has the meaning assigned to such term in the Security Agreement.</w:t>
      </w:r>
    </w:p>
    <w:p>
      <w:pPr>
        <w:spacing w:after="0" w:line="3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Security Agreement</w:t>
      </w:r>
      <w:r>
        <w:rPr>
          <w:rFonts w:ascii="Times New Roman" w:cs="Times New Roman" w:eastAsia="Times New Roman" w:hAnsi="Times New Roman"/>
          <w:sz w:val="14"/>
          <w:szCs w:val="14"/>
          <w:color w:val="auto"/>
        </w:rPr>
        <w:t>” means that certain Amended and Restated Pledge and Security Agreement (including any and all supplements thereto), dated as of the Closing Date, among the Loan Parties and Administrative Agent, for the benefit of Administrative Agent and the other Secured Parties, and any other pledge or security agreement entered into, after the date of this Agreement by any other Loan Party (as required by this Agreement or any other Loan Document) or any other Person for the benefit of Administrative Agent and the other Secured Parties, as the same may be amended, restated, supplemented or otherwise modified from time to time.</w:t>
      </w:r>
    </w:p>
    <w:p>
      <w:pPr>
        <w:spacing w:after="0" w:line="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Security Documents</w:t>
      </w:r>
      <w:r>
        <w:rPr>
          <w:rFonts w:ascii="Times New Roman" w:cs="Times New Roman" w:eastAsia="Times New Roman" w:hAnsi="Times New Roman"/>
          <w:sz w:val="14"/>
          <w:szCs w:val="14"/>
          <w:color w:val="auto"/>
        </w:rPr>
        <w:t>” means (a) the Security Agreement, (b) the Control Agreements and (c) every mortgage, security agreement, pledge agreement, mortgage, deed of trust, control agreement or other collateral security agreement required by or delivered to Administrative Agent from time to time that purport to create a Lien in favor of any of the Secured Parties to secure payment or performance of the Obligations or any portion thereof.</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SOFR</w:t>
      </w:r>
      <w:r>
        <w:rPr>
          <w:rFonts w:ascii="Times New Roman" w:cs="Times New Roman" w:eastAsia="Times New Roman" w:hAnsi="Times New Roman"/>
          <w:sz w:val="14"/>
          <w:szCs w:val="14"/>
          <w:color w:val="auto"/>
        </w:rPr>
        <w:t>” means a rate equal to the secured overnight financing rate as administered by the SOFR Administrator.</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SOFR Administrator</w:t>
      </w:r>
      <w:r>
        <w:rPr>
          <w:rFonts w:ascii="Times New Roman" w:cs="Times New Roman" w:eastAsia="Times New Roman" w:hAnsi="Times New Roman"/>
          <w:sz w:val="14"/>
          <w:szCs w:val="14"/>
          <w:color w:val="auto"/>
        </w:rPr>
        <w:t>” means the Federal Reserve Bank of New York (or a successor administrator of the secured overnight financing rate).</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Specified Excluded Real Property</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clause (g)</w:t>
      </w:r>
      <w:r>
        <w:rPr>
          <w:rFonts w:ascii="Times New Roman" w:cs="Times New Roman" w:eastAsia="Times New Roman" w:hAnsi="Times New Roman"/>
          <w:sz w:val="14"/>
          <w:szCs w:val="14"/>
          <w:color w:val="auto"/>
        </w:rPr>
        <w:t xml:space="preserve"> of the definition of “Excluded Assets”.</w:t>
      </w:r>
    </w:p>
    <w:p>
      <w:pPr>
        <w:spacing w:after="0" w:line="3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Specified Facility Dispositions</w:t>
      </w:r>
      <w:r>
        <w:rPr>
          <w:rFonts w:ascii="Times New Roman" w:cs="Times New Roman" w:eastAsia="Times New Roman" w:hAnsi="Times New Roman"/>
          <w:sz w:val="14"/>
          <w:szCs w:val="14"/>
          <w:color w:val="auto"/>
        </w:rPr>
        <w:t>” means the Dispositions of real property owned by the Loan Parties located at (a) 404 Veterans Airpark Ln, Midland, TX 79705 or (b) 12301 W County Rd, Odessa, TX 79765.</w:t>
      </w: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Specified Reporting Period</w:t>
      </w:r>
      <w:r>
        <w:rPr>
          <w:rFonts w:ascii="Times New Roman" w:cs="Times New Roman" w:eastAsia="Times New Roman" w:hAnsi="Times New Roman"/>
          <w:sz w:val="14"/>
          <w:szCs w:val="14"/>
          <w:color w:val="auto"/>
        </w:rPr>
        <w:t>” means any period commencing on the first date on which (a) an Event of Default has occurred or (b) Availability is less than the Specified Reporting Threshold, and continuing, in either case, until the date upon which both (i) Availability has been equal to or greater than the Specified Reporting Threshold at all times during the preceding sixty (60) consecutive day period, and (ii) no Event of Default has occurred and is continuing during such sixty (60) consecutive day period.</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Specified Reporting Threshold</w:t>
      </w:r>
      <w:r>
        <w:rPr>
          <w:rFonts w:ascii="Times New Roman" w:cs="Times New Roman" w:eastAsia="Times New Roman" w:hAnsi="Times New Roman"/>
          <w:sz w:val="14"/>
          <w:szCs w:val="14"/>
          <w:color w:val="auto"/>
        </w:rPr>
        <w:t>” means, as of any date of determination, the greater of (a) $37,500,000 and (b) ten percent (10%) of the Line Cap then in effect.</w:t>
      </w:r>
    </w:p>
    <w:p>
      <w:pPr>
        <w:spacing w:after="0" w:line="31"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Subordinated Debt</w:t>
      </w:r>
      <w:r>
        <w:rPr>
          <w:rFonts w:ascii="Times New Roman" w:cs="Times New Roman" w:eastAsia="Times New Roman" w:hAnsi="Times New Roman"/>
          <w:sz w:val="14"/>
          <w:szCs w:val="14"/>
          <w:color w:val="auto"/>
        </w:rPr>
        <w:t>” means, collectively, all Debt incurred by any Loan Party or any Subsidiary that is, in each case, subordinated to the Obligations (pursuant to a subordination, intercreditor, or other similar agreement in form and substance satisfactory to Administrative Agent entered into among Administrative Agent, the applicable creditor and the Loan Parties), in a manner satisfactory to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1300"/>
          </w:cols>
          <w:pgMar w:left="300" w:top="287" w:right="29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Administrative Agent, and contains terms, including, without limitation, payment terms, satisfactory to Administrative Agent.</w:t>
      </w:r>
    </w:p>
    <w:p>
      <w:pPr>
        <w:spacing w:after="0" w:line="33"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Subordinated Debt Documents</w:t>
      </w:r>
      <w:r>
        <w:rPr>
          <w:rFonts w:ascii="Times New Roman" w:cs="Times New Roman" w:eastAsia="Times New Roman" w:hAnsi="Times New Roman"/>
          <w:sz w:val="14"/>
          <w:szCs w:val="14"/>
          <w:color w:val="auto"/>
        </w:rPr>
        <w:t>” means, collectively, any and all instruments, documents and agreements executed and/or delivered in connection with any Subordinated Debt, in each case, as amended, amended and restated, supplemented or otherwise modified from time to time in accordance with the terms of the applicable Subordination Agreement.</w:t>
      </w:r>
    </w:p>
    <w:p>
      <w:pPr>
        <w:jc w:val="both"/>
        <w:ind w:firstLine="432"/>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Subordination Agreement</w:t>
      </w:r>
      <w:r>
        <w:rPr>
          <w:rFonts w:ascii="Times New Roman" w:cs="Times New Roman" w:eastAsia="Times New Roman" w:hAnsi="Times New Roman"/>
          <w:sz w:val="14"/>
          <w:szCs w:val="14"/>
          <w:color w:val="auto"/>
        </w:rPr>
        <w:t>” means, individually and collectively, all subordination agreements, intercreditor agreements, consent and similar agreements among any Loan Party or the Administrative Agent and any holder of Subordinated Debt, whether entered into on or prior to the date hereof or from time to time hereafter, together with all modifications, amendments and restatements of any of the foregoing.</w:t>
      </w:r>
    </w:p>
    <w:p>
      <w:pPr>
        <w:spacing w:after="0" w:line="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Subsidiary</w:t>
      </w:r>
      <w:r>
        <w:rPr>
          <w:rFonts w:ascii="Times New Roman" w:cs="Times New Roman" w:eastAsia="Times New Roman" w:hAnsi="Times New Roman"/>
          <w:sz w:val="14"/>
          <w:szCs w:val="14"/>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Holdings.</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Supported QFC</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11.30</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Suretie</w:t>
      </w:r>
      <w:r>
        <w:rPr>
          <w:rFonts w:ascii="Times New Roman" w:cs="Times New Roman" w:eastAsia="Times New Roman" w:hAnsi="Times New Roman"/>
          <w:sz w:val="14"/>
          <w:szCs w:val="14"/>
          <w:i w:val="1"/>
          <w:iCs w:val="1"/>
          <w:color w:val="auto"/>
        </w:rPr>
        <w:t>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12.3(b)</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Swap Obligations</w:t>
      </w:r>
      <w:r>
        <w:rPr>
          <w:rFonts w:ascii="Times New Roman" w:cs="Times New Roman" w:eastAsia="Times New Roman" w:hAnsi="Times New Roman"/>
          <w:sz w:val="14"/>
          <w:szCs w:val="14"/>
          <w:color w:val="auto"/>
        </w:rPr>
        <w:t>” means, with respect to any Loan Party, any obligation to pay or perform under any agreement, contract or transaction that constitutes a “swap” within the meaning of Section 1a(47) of the Commodity Exchange Act.</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Swing Line Borrowing</w:t>
      </w:r>
      <w:r>
        <w:rPr>
          <w:rFonts w:ascii="Times New Roman" w:cs="Times New Roman" w:eastAsia="Times New Roman" w:hAnsi="Times New Roman"/>
          <w:sz w:val="14"/>
          <w:szCs w:val="14"/>
          <w:color w:val="auto"/>
        </w:rPr>
        <w:t xml:space="preserve">” means a borrowing of a Swing Line Loan pursuant to </w:t>
      </w:r>
      <w:r>
        <w:rPr>
          <w:rFonts w:ascii="Times New Roman" w:cs="Times New Roman" w:eastAsia="Times New Roman" w:hAnsi="Times New Roman"/>
          <w:sz w:val="14"/>
          <w:szCs w:val="14"/>
          <w:b w:val="1"/>
          <w:bCs w:val="1"/>
          <w:i w:val="1"/>
          <w:iCs w:val="1"/>
          <w:color w:val="auto"/>
        </w:rPr>
        <w:t>Section 2.3</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Swing Line Lender</w:t>
      </w:r>
      <w:r>
        <w:rPr>
          <w:rFonts w:ascii="Times New Roman" w:cs="Times New Roman" w:eastAsia="Times New Roman" w:hAnsi="Times New Roman"/>
          <w:sz w:val="14"/>
          <w:szCs w:val="14"/>
          <w:color w:val="auto"/>
        </w:rPr>
        <w:t>” means Texas Capital Bank in its capacity as provider of Swing Line Loans, or any successor swing line lender hereunder.</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Swing Line Loan</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2.3(a)</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Swing Line Loan Request</w:t>
      </w:r>
      <w:r>
        <w:rPr>
          <w:rFonts w:ascii="Times New Roman" w:cs="Times New Roman" w:eastAsia="Times New Roman" w:hAnsi="Times New Roman"/>
          <w:sz w:val="14"/>
          <w:szCs w:val="14"/>
          <w:color w:val="auto"/>
        </w:rPr>
        <w:t xml:space="preserve">” means a writing, substantially in the form of </w:t>
      </w:r>
      <w:r>
        <w:rPr>
          <w:rFonts w:ascii="Times New Roman" w:cs="Times New Roman" w:eastAsia="Times New Roman" w:hAnsi="Times New Roman"/>
          <w:sz w:val="14"/>
          <w:szCs w:val="14"/>
          <w:b w:val="1"/>
          <w:bCs w:val="1"/>
          <w:i w:val="1"/>
          <w:iCs w:val="1"/>
          <w:color w:val="auto"/>
        </w:rPr>
        <w:t>Exhibit F</w:t>
      </w:r>
      <w:r>
        <w:rPr>
          <w:rFonts w:ascii="Times New Roman" w:cs="Times New Roman" w:eastAsia="Times New Roman" w:hAnsi="Times New Roman"/>
          <w:sz w:val="14"/>
          <w:szCs w:val="14"/>
          <w:color w:val="auto"/>
        </w:rPr>
        <w:t>, or in such other form agreed to by the Borrower Representative and Administrative Agent, properly completed and signed by the Borrower Representative, requesting a Swing Line Borrowing.</w:t>
      </w:r>
    </w:p>
    <w:p>
      <w:pPr>
        <w:spacing w:after="0" w:line="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Swing Line Sublimit</w:t>
      </w:r>
      <w:r>
        <w:rPr>
          <w:rFonts w:ascii="Times New Roman" w:cs="Times New Roman" w:eastAsia="Times New Roman" w:hAnsi="Times New Roman"/>
          <w:sz w:val="14"/>
          <w:szCs w:val="14"/>
          <w:color w:val="auto"/>
        </w:rPr>
        <w:t xml:space="preserve">” means an amount not to exceed the lesser of (a) $22,500,000 and (b) the aggregate Commitments of the Lenders at such time;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there is more than one Lender. The Swing Line Sublimit is part of, and not in addition to, the Commitments.</w:t>
      </w: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Tax Return</w:t>
      </w:r>
      <w:r>
        <w:rPr>
          <w:rFonts w:ascii="Times New Roman" w:cs="Times New Roman" w:eastAsia="Times New Roman" w:hAnsi="Times New Roman"/>
          <w:sz w:val="14"/>
          <w:szCs w:val="14"/>
          <w:color w:val="auto"/>
        </w:rPr>
        <w:t>” means any return (including any information report), report, statement, schedule, notice, form, or other document or information filed with or submitted to, or required to be filed with or submitted to, any Governmental Authority in connection with the determination, assessment, collection, or payment of any Tax or in connection with the administration, implementation, or enforcement of any Tax.</w:t>
      </w:r>
    </w:p>
    <w:p>
      <w:pPr>
        <w:spacing w:after="0" w:line="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Taxes</w:t>
      </w:r>
      <w:r>
        <w:rPr>
          <w:rFonts w:ascii="Times New Roman" w:cs="Times New Roman" w:eastAsia="Times New Roman" w:hAnsi="Times New Roman"/>
          <w:sz w:val="14"/>
          <w:szCs w:val="14"/>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Term SOFR</w:t>
      </w:r>
      <w:r>
        <w:rPr>
          <w:rFonts w:ascii="Times New Roman" w:cs="Times New Roman" w:eastAsia="Times New Roman" w:hAnsi="Times New Roman"/>
          <w:sz w:val="14"/>
          <w:szCs w:val="14"/>
          <w:color w:val="auto"/>
        </w:rPr>
        <w:t>” means: (a) for any calculation with respect to a Term SOFR Loan, the Term SOFR Reference Rate for a tenor comparable to the applicable Interest Period on the day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day, a</w:t>
      </w:r>
    </w:p>
    <w:p>
      <w:pPr>
        <w:spacing w:after="0" w:line="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Periodic Term SOFR Determination Day</w:t>
      </w:r>
      <w:r>
        <w:rPr>
          <w:rFonts w:ascii="Times New Roman" w:cs="Times New Roman" w:eastAsia="Times New Roman" w:hAnsi="Times New Roman"/>
          <w:sz w:val="14"/>
          <w:szCs w:val="14"/>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1300"/>
          </w:cols>
          <w:pgMar w:left="300" w:top="287" w:right="29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(b) for any calculation with respect to a Base Rate Loan on any day, the Term SOFR Reference Rate for a tenor of one month on the day (such day, a “</w:t>
      </w:r>
      <w:r>
        <w:rPr>
          <w:rFonts w:ascii="Times New Roman" w:cs="Times New Roman" w:eastAsia="Times New Roman" w:hAnsi="Times New Roman"/>
          <w:sz w:val="14"/>
          <w:szCs w:val="14"/>
          <w:b w:val="1"/>
          <w:bCs w:val="1"/>
          <w:i w:val="1"/>
          <w:iCs w:val="1"/>
          <w:color w:val="auto"/>
        </w:rPr>
        <w:t>Base Rate Term SOFR Determination Day</w:t>
      </w:r>
      <w:r>
        <w:rPr>
          <w:rFonts w:ascii="Times New Roman" w:cs="Times New Roman" w:eastAsia="Times New Roman" w:hAnsi="Times New Roman"/>
          <w:sz w:val="14"/>
          <w:szCs w:val="14"/>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Term SOFR Adjustment</w:t>
      </w:r>
      <w:r>
        <w:rPr>
          <w:rFonts w:ascii="Times New Roman" w:cs="Times New Roman" w:eastAsia="Times New Roman" w:hAnsi="Times New Roman"/>
          <w:sz w:val="14"/>
          <w:szCs w:val="14"/>
          <w:color w:val="auto"/>
        </w:rPr>
        <w:t xml:space="preserve">” means, for any calculation (a) with respect to a Base Rate Loan (if calculated pursuant to </w:t>
      </w:r>
      <w:r>
        <w:rPr>
          <w:rFonts w:ascii="Times New Roman" w:cs="Times New Roman" w:eastAsia="Times New Roman" w:hAnsi="Times New Roman"/>
          <w:sz w:val="14"/>
          <w:szCs w:val="14"/>
          <w:b w:val="1"/>
          <w:bCs w:val="1"/>
          <w:i w:val="1"/>
          <w:iCs w:val="1"/>
          <w:color w:val="auto"/>
        </w:rPr>
        <w:t>clause (c)</w:t>
      </w:r>
      <w:r>
        <w:rPr>
          <w:rFonts w:ascii="Times New Roman" w:cs="Times New Roman" w:eastAsia="Times New Roman" w:hAnsi="Times New Roman"/>
          <w:sz w:val="14"/>
          <w:szCs w:val="14"/>
          <w:color w:val="auto"/>
        </w:rPr>
        <w:t xml:space="preserve"> of the definition of “Base Rate”), a percentage per annum equal to 0.10% for such Base Rate Loan or (b) with respect to a Term SOFR Loan, a percentage per annum as set forth below for such Term SOFR Loan and Interest Period therefor: </w:t>
      </w:r>
      <w:r>
        <w:rPr>
          <w:rFonts w:ascii="Times New Roman" w:cs="Times New Roman" w:eastAsia="Times New Roman" w:hAnsi="Times New Roman"/>
          <w:sz w:val="14"/>
          <w:szCs w:val="14"/>
          <w:b w:val="1"/>
          <w:bCs w:val="1"/>
          <w:u w:val="single" w:color="auto"/>
          <w:color w:val="auto"/>
        </w:rPr>
        <w:t>Interest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u w:val="single" w:color="auto"/>
          <w:color w:val="auto"/>
        </w:rPr>
        <w:t>PeriodPercentage</w:t>
      </w:r>
      <w:r>
        <w:rPr>
          <w:rFonts w:ascii="Times New Roman" w:cs="Times New Roman" w:eastAsia="Times New Roman" w:hAnsi="Times New Roman"/>
          <w:sz w:val="14"/>
          <w:szCs w:val="14"/>
          <w:color w:val="auto"/>
        </w:rPr>
        <w:t>One month0.10%Three months0.15%Six months0.25%</w:t>
      </w:r>
    </w:p>
    <w:p>
      <w:pPr>
        <w:spacing w:after="0" w:line="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Term SOFR Administrator</w:t>
      </w:r>
      <w:r>
        <w:rPr>
          <w:rFonts w:ascii="Times New Roman" w:cs="Times New Roman" w:eastAsia="Times New Roman" w:hAnsi="Times New Roman"/>
          <w:sz w:val="14"/>
          <w:szCs w:val="14"/>
          <w:color w:val="auto"/>
        </w:rPr>
        <w:t>” means CME Group Benchmark Administration Limited (CBA) (or a successor administrator of the Term SOFR Reference Rate selected by the Administrative Agent in its reasonable discretion).</w:t>
      </w: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Term SOFR Borrowing</w:t>
      </w:r>
      <w:r>
        <w:rPr>
          <w:rFonts w:ascii="Times New Roman" w:cs="Times New Roman" w:eastAsia="Times New Roman" w:hAnsi="Times New Roman"/>
          <w:sz w:val="14"/>
          <w:szCs w:val="14"/>
          <w:color w:val="auto"/>
        </w:rPr>
        <w:t>” means, as to any Borrowing, the Term SOFR Loans comprising such Borrowing.</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Term SOFR Loan</w:t>
      </w:r>
      <w:r>
        <w:rPr>
          <w:rFonts w:ascii="Times New Roman" w:cs="Times New Roman" w:eastAsia="Times New Roman" w:hAnsi="Times New Roman"/>
          <w:sz w:val="14"/>
          <w:szCs w:val="14"/>
          <w:color w:val="auto"/>
        </w:rPr>
        <w:t>” means a Loan bearing interest based on Adjusted Term SOFR.</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Term SOFR Reference Rate</w:t>
      </w:r>
      <w:r>
        <w:rPr>
          <w:rFonts w:ascii="Times New Roman" w:cs="Times New Roman" w:eastAsia="Times New Roman" w:hAnsi="Times New Roman"/>
          <w:sz w:val="14"/>
          <w:szCs w:val="14"/>
          <w:color w:val="auto"/>
        </w:rPr>
        <w:t>” means the forward-looking term rate based on SOFR.</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Texas Capital Bank</w:t>
      </w:r>
      <w:r>
        <w:rPr>
          <w:rFonts w:ascii="Times New Roman" w:cs="Times New Roman" w:eastAsia="Times New Roman" w:hAnsi="Times New Roman"/>
          <w:sz w:val="14"/>
          <w:szCs w:val="14"/>
          <w:color w:val="auto"/>
        </w:rPr>
        <w:t>” means Texas Capital Bank and its successors and assigns.</w:t>
      </w:r>
    </w:p>
    <w:p>
      <w:pPr>
        <w:spacing w:after="0" w:line="3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Third Amendment</w:t>
      </w:r>
      <w:r>
        <w:rPr>
          <w:rFonts w:ascii="Times New Roman" w:cs="Times New Roman" w:eastAsia="Times New Roman" w:hAnsi="Times New Roman"/>
          <w:sz w:val="14"/>
          <w:szCs w:val="14"/>
          <w:color w:val="auto"/>
        </w:rPr>
        <w:t>” means that certain Third Amendment to Amended and Restated Credit Agreement dated as of the Third Amendment Effective Date, by and among Holdings, the other Borrowers and Loan Parties party thereto, the Administrative Agent and the Lenders party thereto.</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Third Amendment Effective Date</w:t>
      </w:r>
      <w:r>
        <w:rPr>
          <w:rFonts w:ascii="Times New Roman" w:cs="Times New Roman" w:eastAsia="Times New Roman" w:hAnsi="Times New Roman"/>
          <w:sz w:val="14"/>
          <w:szCs w:val="14"/>
          <w:color w:val="auto"/>
        </w:rPr>
        <w:t>” means June 25, 2024.</w:t>
      </w:r>
    </w:p>
    <w:p>
      <w:pPr>
        <w:spacing w:after="0" w:line="37"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Transactions</w:t>
      </w:r>
      <w:r>
        <w:rPr>
          <w:rFonts w:ascii="Times New Roman" w:cs="Times New Roman" w:eastAsia="Times New Roman" w:hAnsi="Times New Roman"/>
          <w:sz w:val="14"/>
          <w:szCs w:val="14"/>
          <w:color w:val="auto"/>
        </w:rPr>
        <w:t>” means, collectively, the execution, delivery and performance by the Loan Parties of this Agreement, the other Loan Documents, the borrowing of Loans and other credit extensions, the use of the proceeds thereof and the issuance of Letters of Credit hereunder, and the payment of all fees and expenses payable in connection with the foregoing.</w:t>
      </w: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Trigger Period</w:t>
      </w:r>
      <w:r>
        <w:rPr>
          <w:rFonts w:ascii="Times New Roman" w:cs="Times New Roman" w:eastAsia="Times New Roman" w:hAnsi="Times New Roman"/>
          <w:sz w:val="14"/>
          <w:szCs w:val="14"/>
          <w:color w:val="auto"/>
        </w:rPr>
        <w:t>” means any period commencing on the first date on which (a) an Event of Default has occurred or (b) Availability is less than the Trigger Period Threshold, and continuing, in either case, until the date upon which both (i) Availability has been equal to or greater than the Trigger Period Threshold at all times during the preceding sixty (60) consecutive day period, and (ii) no Event of Default has occurred and is continuing during such sixty (60) consecutive day period.</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Trigger Period Threshold</w:t>
      </w:r>
      <w:r>
        <w:rPr>
          <w:rFonts w:ascii="Times New Roman" w:cs="Times New Roman" w:eastAsia="Times New Roman" w:hAnsi="Times New Roman"/>
          <w:sz w:val="14"/>
          <w:szCs w:val="14"/>
          <w:color w:val="auto"/>
        </w:rPr>
        <w:t>” means, as of any date of determination, the greater of (a) $37,500,000 and (b) ten percent (10%) of the Line Cap then in effect.</w:t>
      </w:r>
    </w:p>
    <w:p>
      <w:pPr>
        <w:spacing w:after="0" w:line="3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Type</w:t>
      </w:r>
      <w:r>
        <w:rPr>
          <w:rFonts w:ascii="Times New Roman" w:cs="Times New Roman" w:eastAsia="Times New Roman" w:hAnsi="Times New Roman"/>
          <w:sz w:val="14"/>
          <w:szCs w:val="14"/>
          <w:color w:val="auto"/>
        </w:rPr>
        <w:t>” means, with respect to a Loan, refers to whether such Loan is a Base Rate Loan or a Term SOFR Loan, and, with respect to a Borrowing, refers to whether such Borrowing is a Base Rate Borrowing or a Term SOFR Borrowing.</w:t>
      </w:r>
    </w:p>
    <w:p>
      <w:pPr>
        <w:spacing w:after="0" w:line="1" w:lineRule="exact"/>
        <w:rPr>
          <w:sz w:val="20"/>
          <w:szCs w:val="20"/>
          <w:color w:val="auto"/>
        </w:rPr>
      </w:pPr>
    </w:p>
    <w:p>
      <w:pPr>
        <w:jc w:val="both"/>
        <w:ind w:right="20" w:firstLine="432"/>
        <w:spacing w:after="0" w:line="28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UCC</w:t>
      </w:r>
      <w:r>
        <w:rPr>
          <w:rFonts w:ascii="Times New Roman" w:cs="Times New Roman" w:eastAsia="Times New Roman" w:hAnsi="Times New Roman"/>
          <w:sz w:val="14"/>
          <w:szCs w:val="14"/>
          <w:color w:val="auto"/>
        </w:rPr>
        <w:t>” means the Uniform Commercial Code as in effect from time to time in the State of Texas or any other state the laws of which are required to be applied in connection with the issue of perfection of security interests.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1300"/>
          </w:cols>
          <w:pgMar w:left="300" w:top="287" w:right="29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UK Financial Institution</w:t>
      </w:r>
      <w:r>
        <w:rPr>
          <w:rFonts w:ascii="Times New Roman" w:cs="Times New Roman" w:eastAsia="Times New Roman" w:hAnsi="Times New Roman"/>
          <w:sz w:val="14"/>
          <w:szCs w:val="14"/>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UK Resolution Authority</w:t>
      </w:r>
      <w:r>
        <w:rPr>
          <w:rFonts w:ascii="Times New Roman" w:cs="Times New Roman" w:eastAsia="Times New Roman" w:hAnsi="Times New Roman"/>
          <w:sz w:val="14"/>
          <w:szCs w:val="14"/>
          <w:color w:val="auto"/>
        </w:rPr>
        <w:t>” means the Bank of England or any other public administrative authority having responsibility for the resolution of any UK Financial Institution.</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Unadjusted Benchmark Replacement</w:t>
      </w:r>
      <w:r>
        <w:rPr>
          <w:rFonts w:ascii="Times New Roman" w:cs="Times New Roman" w:eastAsia="Times New Roman" w:hAnsi="Times New Roman"/>
          <w:sz w:val="14"/>
          <w:szCs w:val="14"/>
          <w:color w:val="auto"/>
        </w:rPr>
        <w:t>” means the applicable Benchmark Replacement excluding the related Benchmark Replacement Adjustment.</w:t>
      </w:r>
    </w:p>
    <w:p>
      <w:pPr>
        <w:spacing w:after="0" w:line="3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Unfinanced Capital Expenditures</w:t>
      </w:r>
      <w:r>
        <w:rPr>
          <w:rFonts w:ascii="Times New Roman" w:cs="Times New Roman" w:eastAsia="Times New Roman" w:hAnsi="Times New Roman"/>
          <w:sz w:val="14"/>
          <w:szCs w:val="14"/>
          <w:color w:val="auto"/>
        </w:rPr>
        <w:t xml:space="preserve">” means, for any date of determination, Capital Expenditures (or any portion thereof) of Holdings and its Subsidiaries made in cash during the four (4) quarter period then ending (excluding Capital Expenditures to the extent financed from the proceeds of any Debt (other than the Revolving Credit Loans));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no event shall the amount of Unfinanced Capital Expenditures for any period be less than zero.</w:t>
      </w:r>
    </w:p>
    <w:p>
      <w:pPr>
        <w:spacing w:after="0" w:line="2"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Unfunded Pension Liability</w:t>
      </w:r>
      <w:r>
        <w:rPr>
          <w:rFonts w:ascii="Times New Roman" w:cs="Times New Roman" w:eastAsia="Times New Roman" w:hAnsi="Times New Roman"/>
          <w:sz w:val="14"/>
          <w:szCs w:val="14"/>
          <w:color w:val="auto"/>
        </w:rPr>
        <w:t>” means the excess, if any, of (a) the funding target as defined under Section 430(d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of the Code without regard to the special at-risk rules of Section 430(i) of the Code, over (b) the value of plan assets as defined under Section 430(g)(3)(A</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of the Code determined as of the last day of each plan year, without regard to the averaging which may be allowed under Section 430(g)(3)(B</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of the Code and reduced for any prefunding balance or funding standard carryover balance as defined and provided for in Section 430(f) of the Code.</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Unreimbursed Amount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2.2(c)(i)</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U.S. Foreign HoldCo</w:t>
      </w:r>
      <w:r>
        <w:rPr>
          <w:rFonts w:ascii="Times New Roman" w:cs="Times New Roman" w:eastAsia="Times New Roman" w:hAnsi="Times New Roman"/>
          <w:sz w:val="14"/>
          <w:szCs w:val="14"/>
          <w:color w:val="auto"/>
        </w:rPr>
        <w:t>” means any Domestic Subsidiary substantially all the assets of which consist (directly or indirectly) of stock (or stock and securities) of one or more CFCs.</w:t>
      </w:r>
    </w:p>
    <w:p>
      <w:pPr>
        <w:spacing w:after="0" w:line="3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U.S. Government Securities Business Day</w:t>
      </w:r>
      <w:r>
        <w:rPr>
          <w:rFonts w:ascii="Times New Roman" w:cs="Times New Roman" w:eastAsia="Times New Roman" w:hAnsi="Times New Roman"/>
          <w:sz w:val="14"/>
          <w:szCs w:val="14"/>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U.S. Person</w:t>
      </w:r>
      <w:r>
        <w:rPr>
          <w:rFonts w:ascii="Times New Roman" w:cs="Times New Roman" w:eastAsia="Times New Roman" w:hAnsi="Times New Roman"/>
          <w:sz w:val="14"/>
          <w:szCs w:val="14"/>
          <w:color w:val="auto"/>
        </w:rPr>
        <w:t xml:space="preserve">” means (a) for purposes of </w:t>
      </w:r>
      <w:r>
        <w:rPr>
          <w:rFonts w:ascii="Times New Roman" w:cs="Times New Roman" w:eastAsia="Times New Roman" w:hAnsi="Times New Roman"/>
          <w:sz w:val="14"/>
          <w:szCs w:val="14"/>
          <w:u w:val="single" w:color="auto"/>
          <w:color w:val="auto"/>
        </w:rPr>
        <w:t>Sections 5.30</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7.19</w:t>
      </w:r>
      <w:r>
        <w:rPr>
          <w:rFonts w:ascii="Times New Roman" w:cs="Times New Roman" w:eastAsia="Times New Roman" w:hAnsi="Times New Roman"/>
          <w:sz w:val="14"/>
          <w:szCs w:val="14"/>
          <w:color w:val="auto"/>
        </w:rPr>
        <w:t xml:space="preserve"> hereof, any United States citizen, lawful permanent resident, entity organized under the laws of the United States or any jurisdiction within the United States, including any foreign branch of any such entity, or any person in the United States and (b) for all other purposes, any Person that is a “United States Person” as defined in Section 7701(a)(30) of the Code.</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U.S. Special Resolution Regimes</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b w:val="1"/>
          <w:bCs w:val="1"/>
          <w:i w:val="1"/>
          <w:iCs w:val="1"/>
          <w:color w:val="auto"/>
        </w:rPr>
        <w:t>Section 11.30</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U.S. Tax Compliance Certificate</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b w:val="1"/>
          <w:bCs w:val="1"/>
          <w:i w:val="1"/>
          <w:iCs w:val="1"/>
          <w:color w:val="auto"/>
        </w:rPr>
        <w:t>Section 3.4(g)(ii)(B)(3)</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Withholding Agent</w:t>
      </w:r>
      <w:r>
        <w:rPr>
          <w:rFonts w:ascii="Times New Roman" w:cs="Times New Roman" w:eastAsia="Times New Roman" w:hAnsi="Times New Roman"/>
          <w:sz w:val="14"/>
          <w:szCs w:val="14"/>
          <w:color w:val="auto"/>
        </w:rPr>
        <w:t>” means each of the Loan Parties and Administrative Agent.</w:t>
      </w:r>
    </w:p>
    <w:p>
      <w:pPr>
        <w:spacing w:after="0" w:line="37"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Write-Down and Conversion Powers</w:t>
      </w:r>
      <w:r>
        <w:rPr>
          <w:rFonts w:ascii="Times New Roman" w:cs="Times New Roman" w:eastAsia="Times New Roman" w:hAnsi="Times New Roman"/>
          <w:sz w:val="14"/>
          <w:szCs w:val="14"/>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1.2</w:t>
      </w:r>
      <w:r>
        <w:rPr>
          <w:sz w:val="20"/>
          <w:szCs w:val="20"/>
          <w:color w:val="auto"/>
        </w:rPr>
        <w:tab/>
      </w:r>
      <w:r>
        <w:rPr>
          <w:rFonts w:ascii="Times New Roman" w:cs="Times New Roman" w:eastAsia="Times New Roman" w:hAnsi="Times New Roman"/>
          <w:sz w:val="14"/>
          <w:szCs w:val="14"/>
          <w:b w:val="1"/>
          <w:bCs w:val="1"/>
          <w:u w:val="single" w:color="auto"/>
          <w:color w:val="auto"/>
        </w:rPr>
        <w:t>Accounting Matters</w:t>
      </w:r>
    </w:p>
    <w:p>
      <w:pPr>
        <w:spacing w:after="0" w:line="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5580" w:right="560" w:hanging="4292"/>
        <w:spacing w:after="0" w:line="557" w:lineRule="auto"/>
        <w:tabs>
          <w:tab w:leader="none" w:pos="1608" w:val="left"/>
        </w:tabs>
        <w:numPr>
          <w:ilvl w:val="0"/>
          <w:numId w:val="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Generally</w:t>
      </w:r>
      <w:r>
        <w:rPr>
          <w:rFonts w:ascii="Times New Roman" w:cs="Times New Roman" w:eastAsia="Times New Roman" w:hAnsi="Times New Roman"/>
          <w:sz w:val="14"/>
          <w:szCs w:val="14"/>
          <w:color w:val="auto"/>
        </w:rPr>
        <w:t>. All accounting terms not specifically or completely defined herein shall be construed in conformity with, and all financial data (including financial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62</w:t>
      </w:r>
    </w:p>
    <w:p>
      <w:pPr>
        <w:sectPr>
          <w:pgSz w:w="11900" w:h="16838" w:orient="portrait"/>
          <w:cols w:equalWidth="0" w:num="1">
            <w:col w:w="11300"/>
          </w:cols>
          <w:pgMar w:left="300" w:top="287" w:right="29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860"/>
        <w:spacing w:after="0" w:line="246" w:lineRule="auto"/>
        <w:rPr>
          <w:sz w:val="20"/>
          <w:szCs w:val="20"/>
          <w:color w:val="auto"/>
        </w:rPr>
      </w:pPr>
      <w:r>
        <w:rPr>
          <w:rFonts w:ascii="Times New Roman" w:cs="Times New Roman" w:eastAsia="Times New Roman" w:hAnsi="Times New Roman"/>
          <w:sz w:val="14"/>
          <w:szCs w:val="14"/>
          <w:color w:val="auto"/>
        </w:rPr>
        <w:t xml:space="preserve">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described in </w:t>
      </w:r>
      <w:r>
        <w:rPr>
          <w:rFonts w:ascii="Times New Roman" w:cs="Times New Roman" w:eastAsia="Times New Roman" w:hAnsi="Times New Roman"/>
          <w:sz w:val="14"/>
          <w:szCs w:val="14"/>
          <w:b w:val="1"/>
          <w:bCs w:val="1"/>
          <w:i w:val="1"/>
          <w:iCs w:val="1"/>
          <w:color w:val="auto"/>
        </w:rPr>
        <w:t>Section 5.2</w:t>
      </w:r>
      <w:r>
        <w:rPr>
          <w:rFonts w:ascii="Times New Roman" w:cs="Times New Roman" w:eastAsia="Times New Roman" w:hAnsi="Times New Roman"/>
          <w:sz w:val="14"/>
          <w:szCs w:val="14"/>
          <w:color w:val="auto"/>
        </w:rPr>
        <w:t>, except as otherwise specifically prescribed herein. Notwithstanding the foregoing or anything to the contrary herein, (i) for purposes of determining compliance with any covenant (including the computation of any Financial Covenant) contained herein, Debt of Holdings and its Subsidiaries shall be deemed to be carried at 100% of the outstanding principal amount thereof, and the effects of FASB ASC 825 on financial liabilities shall be disregarded and (ii) any lease that is treated as an operating lease for purposes of GAAP as of December 15, 2018 shall continue to be treated as an operating lease (and any future lease, if it were in effect on December 15, 2018, that would be treated as an operating lease for purposes of GAAP as of December 15, 2018 shall be treated as an operating lease), in each case for purposes of this Agreement, notwithstanding any change in GAAP after December 15, 2018.</w:t>
      </w:r>
    </w:p>
    <w:p>
      <w:pPr>
        <w:spacing w:after="0" w:line="4" w:lineRule="exact"/>
        <w:rPr>
          <w:sz w:val="20"/>
          <w:szCs w:val="20"/>
          <w:color w:val="auto"/>
        </w:rPr>
      </w:pPr>
    </w:p>
    <w:p>
      <w:pPr>
        <w:jc w:val="both"/>
        <w:ind w:left="860" w:firstLine="428"/>
        <w:spacing w:after="0" w:line="250" w:lineRule="auto"/>
        <w:tabs>
          <w:tab w:leader="none" w:pos="1642" w:val="left"/>
        </w:tabs>
        <w:numPr>
          <w:ilvl w:val="0"/>
          <w:numId w:val="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Changes in GAAP</w:t>
      </w:r>
      <w:r>
        <w:rPr>
          <w:rFonts w:ascii="Times New Roman" w:cs="Times New Roman" w:eastAsia="Times New Roman" w:hAnsi="Times New Roman"/>
          <w:sz w:val="14"/>
          <w:szCs w:val="14"/>
          <w:color w:val="auto"/>
        </w:rPr>
        <w:t>. If at any time any change in GAAP would affect the computation of any financial ratio or requirement set forth herein, and either the Borrower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Representative or the Required Lenders shall so request, Administrative Agent, Lenders and the Borrower Representative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until so amended, (i) such ratio or requirement shall continue to be computed in accordance with GAAP prior to such change therein and (ii) the Borrower Representative shall provide to Administrative Agent and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28"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b w:val="1"/>
          <w:bCs w:val="1"/>
          <w:u w:val="single" w:color="auto"/>
          <w:color w:val="auto"/>
        </w:rPr>
        <w:t>ERISA Matters</w:t>
      </w:r>
      <w:r>
        <w:rPr>
          <w:rFonts w:ascii="Times New Roman" w:cs="Times New Roman" w:eastAsia="Times New Roman" w:hAnsi="Times New Roman"/>
          <w:sz w:val="14"/>
          <w:szCs w:val="14"/>
          <w:color w:val="auto"/>
        </w:rPr>
        <w:t>. If, after the date hereof, there shall occur, with respect to ERISA, the adoption of any applicable Law, rule, or regulation, or any change therein, or any change in the interpretation or administration thereof by the PBGC or any other Governmental Authority, then either the Borrower Representative or Required Lenders may request a modification to this Agreement solely to preserve the original intent of this Agreement with respect to the provisions hereof applicable to ERISA, and the parties to this Agreement shall negotiate in good faith to complete such modification.</w:t>
      </w: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b w:val="1"/>
          <w:bCs w:val="1"/>
          <w:u w:val="single" w:color="auto"/>
          <w:color w:val="auto"/>
        </w:rPr>
        <w:t>Letter of Credit Amounts</w:t>
      </w:r>
      <w:r>
        <w:rPr>
          <w:rFonts w:ascii="Times New Roman" w:cs="Times New Roman" w:eastAsia="Times New Roman" w:hAnsi="Times New Roman"/>
          <w:sz w:val="14"/>
          <w:szCs w:val="14"/>
          <w:color w:val="auto"/>
        </w:rPr>
        <w:t xml:space="preserve">. 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b w:val="1"/>
          <w:bCs w:val="1"/>
          <w:u w:val="single" w:color="auto"/>
          <w:color w:val="auto"/>
        </w:rPr>
        <w:t>Other Definitional Provisions.</w:t>
      </w:r>
      <w:r>
        <w:rPr>
          <w:rFonts w:ascii="Times New Roman" w:cs="Times New Roman" w:eastAsia="Times New Roman" w:hAnsi="Times New Roman"/>
          <w:sz w:val="14"/>
          <w:szCs w:val="14"/>
          <w:color w:val="auto"/>
        </w:rPr>
        <w:t xml:space="preserve"> All definitions contained in this Agreement are equally applicable to the singular and plural forms of the terms defined. The words “hereof”, “herein”, and “hereunder” and words of similar import referring to this Agreement refer to this Agreement as a whole and not to any particular provision of this Agreement. Unless otherwise specified, all references in a Loan Document to Articles, Sections, Exhibits and Schedules shall be construed to refer to Articles and Sections of, and Exhibits and Schedules to, the Loan Document in which such references appear. Terms used herein that are defined in the UCC, unless otherwise defined herein, shall have the meanings specified in the UCC. Any definition of or reference to any agreement, instrument or other document shall be construed as referring to such agreement, instrument or other document as from time to time amended, supplemented or otherwise modified (subject to any restrictions on such amendments, supplements or modifications set forth herein or in any other Loan Document). Any reference to any Law shall include all statutory and regulatory provisions consolidating, amending, replacing or interpreting such Law and any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1300"/>
          </w:cols>
          <w:pgMar w:left="300" w:top="287" w:right="29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4"/>
          <w:szCs w:val="14"/>
          <w:color w:val="auto"/>
        </w:rPr>
        <w:t>reference to any Law or regulation shall, unless otherwise specified, refer to such Law or regulation as amended, modified or supplemented from time to time. Words denoting gender shall be construed to include the masculine, feminine and neuter, when such construction is appropriate; specific enumeration shall not exclude the general but shall be constructed as cumulative; the word “</w:t>
      </w:r>
      <w:r>
        <w:rPr>
          <w:rFonts w:ascii="Times New Roman" w:cs="Times New Roman" w:eastAsia="Times New Roman" w:hAnsi="Times New Roman"/>
          <w:sz w:val="14"/>
          <w:szCs w:val="14"/>
          <w:b w:val="1"/>
          <w:bCs w:val="1"/>
          <w:i w:val="1"/>
          <w:iCs w:val="1"/>
          <w:color w:val="auto"/>
        </w:rPr>
        <w:t>or</w:t>
      </w:r>
      <w:r>
        <w:rPr>
          <w:rFonts w:ascii="Times New Roman" w:cs="Times New Roman" w:eastAsia="Times New Roman" w:hAnsi="Times New Roman"/>
          <w:sz w:val="14"/>
          <w:szCs w:val="14"/>
          <w:color w:val="auto"/>
        </w:rPr>
        <w:t>” is not exclusive; the word “</w:t>
      </w:r>
      <w:r>
        <w:rPr>
          <w:rFonts w:ascii="Times New Roman" w:cs="Times New Roman" w:eastAsia="Times New Roman" w:hAnsi="Times New Roman"/>
          <w:sz w:val="14"/>
          <w:szCs w:val="14"/>
          <w:b w:val="1"/>
          <w:bCs w:val="1"/>
          <w:i w:val="1"/>
          <w:iCs w:val="1"/>
          <w:color w:val="auto"/>
        </w:rPr>
        <w:t>including</w:t>
      </w:r>
      <w:r>
        <w:rPr>
          <w:rFonts w:ascii="Times New Roman" w:cs="Times New Roman" w:eastAsia="Times New Roman" w:hAnsi="Times New Roman"/>
          <w:sz w:val="14"/>
          <w:szCs w:val="14"/>
          <w:color w:val="auto"/>
        </w:rPr>
        <w:t>” (in its various forms) means “</w:t>
      </w:r>
      <w:r>
        <w:rPr>
          <w:rFonts w:ascii="Times New Roman" w:cs="Times New Roman" w:eastAsia="Times New Roman" w:hAnsi="Times New Roman"/>
          <w:sz w:val="14"/>
          <w:szCs w:val="14"/>
          <w:b w:val="1"/>
          <w:bCs w:val="1"/>
          <w:i w:val="1"/>
          <w:iCs w:val="1"/>
          <w:color w:val="auto"/>
        </w:rPr>
        <w:t>including, without limitation</w:t>
      </w:r>
      <w:r>
        <w:rPr>
          <w:rFonts w:ascii="Times New Roman" w:cs="Times New Roman" w:eastAsia="Times New Roman" w:hAnsi="Times New Roman"/>
          <w:sz w:val="14"/>
          <w:szCs w:val="14"/>
          <w:color w:val="auto"/>
        </w:rPr>
        <w:t>”; in the computation of periods of time, the word “</w:t>
      </w:r>
      <w:r>
        <w:rPr>
          <w:rFonts w:ascii="Times New Roman" w:cs="Times New Roman" w:eastAsia="Times New Roman" w:hAnsi="Times New Roman"/>
          <w:sz w:val="14"/>
          <w:szCs w:val="14"/>
          <w:b w:val="1"/>
          <w:bCs w:val="1"/>
          <w:i w:val="1"/>
          <w:iCs w:val="1"/>
          <w:color w:val="auto"/>
        </w:rPr>
        <w:t>from</w:t>
      </w:r>
      <w:r>
        <w:rPr>
          <w:rFonts w:ascii="Times New Roman" w:cs="Times New Roman" w:eastAsia="Times New Roman" w:hAnsi="Times New Roman"/>
          <w:sz w:val="14"/>
          <w:szCs w:val="14"/>
          <w:color w:val="auto"/>
        </w:rPr>
        <w:t>” means “</w:t>
      </w:r>
      <w:r>
        <w:rPr>
          <w:rFonts w:ascii="Times New Roman" w:cs="Times New Roman" w:eastAsia="Times New Roman" w:hAnsi="Times New Roman"/>
          <w:sz w:val="14"/>
          <w:szCs w:val="14"/>
          <w:b w:val="1"/>
          <w:bCs w:val="1"/>
          <w:i w:val="1"/>
          <w:iCs w:val="1"/>
          <w:color w:val="auto"/>
        </w:rPr>
        <w:t>from and including</w:t>
      </w:r>
      <w:r>
        <w:rPr>
          <w:rFonts w:ascii="Times New Roman" w:cs="Times New Roman" w:eastAsia="Times New Roman" w:hAnsi="Times New Roman"/>
          <w:sz w:val="14"/>
          <w:szCs w:val="14"/>
          <w:color w:val="auto"/>
        </w:rPr>
        <w:t>” and the words “</w:t>
      </w:r>
      <w:r>
        <w:rPr>
          <w:rFonts w:ascii="Times New Roman" w:cs="Times New Roman" w:eastAsia="Times New Roman" w:hAnsi="Times New Roman"/>
          <w:sz w:val="14"/>
          <w:szCs w:val="14"/>
          <w:b w:val="1"/>
          <w:bCs w:val="1"/>
          <w:i w:val="1"/>
          <w:iCs w:val="1"/>
          <w:color w:val="auto"/>
        </w:rPr>
        <w:t>to</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i w:val="1"/>
          <w:iCs w:val="1"/>
          <w:color w:val="auto"/>
        </w:rPr>
        <w:t>until</w:t>
      </w:r>
      <w:r>
        <w:rPr>
          <w:rFonts w:ascii="Times New Roman" w:cs="Times New Roman" w:eastAsia="Times New Roman" w:hAnsi="Times New Roman"/>
          <w:sz w:val="14"/>
          <w:szCs w:val="14"/>
          <w:color w:val="auto"/>
        </w:rPr>
        <w:t>” mean “</w:t>
      </w:r>
      <w:r>
        <w:rPr>
          <w:rFonts w:ascii="Times New Roman" w:cs="Times New Roman" w:eastAsia="Times New Roman" w:hAnsi="Times New Roman"/>
          <w:sz w:val="14"/>
          <w:szCs w:val="14"/>
          <w:b w:val="1"/>
          <w:bCs w:val="1"/>
          <w:i w:val="1"/>
          <w:iCs w:val="1"/>
          <w:color w:val="auto"/>
        </w:rPr>
        <w:t>to but excluding</w:t>
      </w:r>
      <w:r>
        <w:rPr>
          <w:rFonts w:ascii="Times New Roman" w:cs="Times New Roman" w:eastAsia="Times New Roman" w:hAnsi="Times New Roman"/>
          <w:sz w:val="14"/>
          <w:szCs w:val="14"/>
          <w:color w:val="auto"/>
        </w:rPr>
        <w:t>”; and all references to money refer to the legal currency of the United States of America.</w:t>
      </w:r>
    </w:p>
    <w:p>
      <w:pPr>
        <w:spacing w:after="0" w:line="1" w:lineRule="exact"/>
        <w:rPr>
          <w:sz w:val="20"/>
          <w:szCs w:val="20"/>
          <w:color w:val="auto"/>
        </w:rPr>
      </w:pPr>
    </w:p>
    <w:p>
      <w:pPr>
        <w:jc w:val="both"/>
        <w:ind w:right="20" w:firstLine="432"/>
        <w:spacing w:after="0" w:line="255" w:lineRule="auto"/>
        <w:rPr>
          <w:sz w:val="20"/>
          <w:szCs w:val="20"/>
          <w:color w:val="auto"/>
        </w:rPr>
      </w:pPr>
      <w:r>
        <w:rPr>
          <w:rFonts w:ascii="Times New Roman" w:cs="Times New Roman" w:eastAsia="Times New Roman" w:hAnsi="Times New Roman"/>
          <w:sz w:val="14"/>
          <w:szCs w:val="14"/>
          <w:color w:val="auto"/>
        </w:rPr>
        <w:t xml:space="preserve">Section 1.6 </w:t>
      </w:r>
      <w:r>
        <w:rPr>
          <w:rFonts w:ascii="Times New Roman" w:cs="Times New Roman" w:eastAsia="Times New Roman" w:hAnsi="Times New Roman"/>
          <w:sz w:val="14"/>
          <w:szCs w:val="14"/>
          <w:b w:val="1"/>
          <w:bCs w:val="1"/>
          <w:u w:val="single" w:color="auto"/>
          <w:color w:val="auto"/>
        </w:rPr>
        <w:t>Interpretative Provision.</w:t>
      </w:r>
      <w:r>
        <w:rPr>
          <w:rFonts w:ascii="Times New Roman" w:cs="Times New Roman" w:eastAsia="Times New Roman" w:hAnsi="Times New Roman"/>
          <w:sz w:val="14"/>
          <w:szCs w:val="14"/>
          <w:color w:val="auto"/>
        </w:rPr>
        <w:t xml:space="preserve"> For purposes of </w:t>
      </w:r>
      <w:r>
        <w:rPr>
          <w:rFonts w:ascii="Times New Roman" w:cs="Times New Roman" w:eastAsia="Times New Roman" w:hAnsi="Times New Roman"/>
          <w:sz w:val="14"/>
          <w:szCs w:val="14"/>
          <w:b w:val="1"/>
          <w:bCs w:val="1"/>
          <w:i w:val="1"/>
          <w:iCs w:val="1"/>
          <w:color w:val="auto"/>
        </w:rPr>
        <w:t>Section 9.1</w:t>
      </w:r>
      <w:r>
        <w:rPr>
          <w:rFonts w:ascii="Times New Roman" w:cs="Times New Roman" w:eastAsia="Times New Roman" w:hAnsi="Times New Roman"/>
          <w:sz w:val="14"/>
          <w:szCs w:val="14"/>
          <w:color w:val="auto"/>
        </w:rPr>
        <w:t>, a breach of a Financial Covenant shall be deemed to have occurred as of any date of determination thereof by Holdings, Borrowers, or the Required Lenders or as of the last date of any specified measurement period, regardless of when the financial statements or the Compliance Certificate reflecting such breach are delivered to Administrative Agent.</w:t>
      </w:r>
    </w:p>
    <w:p>
      <w:pPr>
        <w:spacing w:after="0" w:line="2"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1.7</w:t>
      </w:r>
      <w:r>
        <w:rPr>
          <w:sz w:val="20"/>
          <w:szCs w:val="20"/>
          <w:color w:val="auto"/>
        </w:rPr>
        <w:tab/>
      </w:r>
      <w:r>
        <w:rPr>
          <w:rFonts w:ascii="Times New Roman" w:cs="Times New Roman" w:eastAsia="Times New Roman" w:hAnsi="Times New Roman"/>
          <w:sz w:val="14"/>
          <w:szCs w:val="14"/>
          <w:b w:val="1"/>
          <w:bCs w:val="1"/>
          <w:u w:val="single" w:color="auto"/>
          <w:color w:val="auto"/>
        </w:rPr>
        <w:t xml:space="preserve">Times of Day. </w:t>
      </w:r>
      <w:r>
        <w:rPr>
          <w:rFonts w:ascii="Times New Roman" w:cs="Times New Roman" w:eastAsia="Times New Roman" w:hAnsi="Times New Roman"/>
          <w:sz w:val="14"/>
          <w:szCs w:val="14"/>
          <w:color w:val="auto"/>
        </w:rPr>
        <w:t>Unless otherwise specified, all references herein to times of day shall be references to central time (daylight or standard, as applicable).</w:t>
      </w:r>
    </w:p>
    <w:p>
      <w:pPr>
        <w:spacing w:after="0" w:line="3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b w:val="1"/>
          <w:bCs w:val="1"/>
          <w:u w:val="single" w:color="auto"/>
          <w:color w:val="auto"/>
        </w:rPr>
        <w:t>Other Loan Documents.</w:t>
      </w:r>
      <w:r>
        <w:rPr>
          <w:rFonts w:ascii="Times New Roman" w:cs="Times New Roman" w:eastAsia="Times New Roman" w:hAnsi="Times New Roman"/>
          <w:sz w:val="14"/>
          <w:szCs w:val="14"/>
          <w:color w:val="auto"/>
        </w:rPr>
        <w:t xml:space="preserve"> The other Loan Documents, including the Security Documents, contain representations, warranties, covenants, defaults and other provisions that are in addition to and not limited by, or a limitation of, similar provisions of this Agreement. Such provisions in such other Loan Documents may be different or more expansive than similar provisions of this Agreement and neither such differences nor such more expansive provisions shall be construed as a conflict.</w:t>
      </w:r>
    </w:p>
    <w:p>
      <w:pPr>
        <w:spacing w:after="0" w:line="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1.9 </w:t>
      </w:r>
      <w:r>
        <w:rPr>
          <w:rFonts w:ascii="Times New Roman" w:cs="Times New Roman" w:eastAsia="Times New Roman" w:hAnsi="Times New Roman"/>
          <w:sz w:val="14"/>
          <w:szCs w:val="14"/>
          <w:b w:val="1"/>
          <w:bCs w:val="1"/>
          <w:u w:val="single" w:color="auto"/>
          <w:color w:val="auto"/>
        </w:rPr>
        <w:t>Divisions</w:t>
      </w:r>
      <w:r>
        <w:rPr>
          <w:rFonts w:ascii="Times New Roman" w:cs="Times New Roman" w:eastAsia="Times New Roman" w:hAnsi="Times New Roman"/>
          <w:sz w:val="14"/>
          <w:szCs w:val="14"/>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4"/>
          <w:szCs w:val="14"/>
          <w:color w:val="auto"/>
        </w:rPr>
        <w:t xml:space="preserve">Section 1.10 </w:t>
      </w:r>
      <w:r>
        <w:rPr>
          <w:rFonts w:ascii="Times New Roman" w:cs="Times New Roman" w:eastAsia="Times New Roman" w:hAnsi="Times New Roman"/>
          <w:sz w:val="14"/>
          <w:szCs w:val="14"/>
          <w:b w:val="1"/>
          <w:bCs w:val="1"/>
          <w:u w:val="single" w:color="auto"/>
          <w:color w:val="auto"/>
        </w:rPr>
        <w:t>Pro Forma Calculations.</w:t>
      </w:r>
      <w:r>
        <w:rPr>
          <w:rFonts w:ascii="Times New Roman" w:cs="Times New Roman" w:eastAsia="Times New Roman" w:hAnsi="Times New Roman"/>
          <w:sz w:val="14"/>
          <w:szCs w:val="14"/>
          <w:color w:val="auto"/>
        </w:rPr>
        <w:t xml:space="preserve"> To the extent the Fixed Charge Coverage Ratio and/or Leverage Ratio of Holdings and its Subsidiaries are required under this Agreement to be calculated on a “pro forma basis” (but excluding, for the avoidance of doubt, for purposes of complying with the Financial Covenants pursuant to </w:t>
      </w:r>
      <w:r>
        <w:rPr>
          <w:rFonts w:ascii="Times New Roman" w:cs="Times New Roman" w:eastAsia="Times New Roman" w:hAnsi="Times New Roman"/>
          <w:sz w:val="14"/>
          <w:szCs w:val="14"/>
          <w:b w:val="1"/>
          <w:bCs w:val="1"/>
          <w:i w:val="1"/>
          <w:iCs w:val="1"/>
          <w:color w:val="auto"/>
        </w:rPr>
        <w:t>Section 8.1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Section 8.2</w:t>
      </w:r>
      <w:r>
        <w:rPr>
          <w:rFonts w:ascii="Times New Roman" w:cs="Times New Roman" w:eastAsia="Times New Roman" w:hAnsi="Times New Roman"/>
          <w:sz w:val="14"/>
          <w:szCs w:val="14"/>
          <w:color w:val="auto"/>
        </w:rPr>
        <w:t xml:space="preserve">, which pro forma adjustments, if any, shall be limited to, and made in accordance with, the last sentence of </w:t>
      </w:r>
      <w:r>
        <w:rPr>
          <w:rFonts w:ascii="Times New Roman" w:cs="Times New Roman" w:eastAsia="Times New Roman" w:hAnsi="Times New Roman"/>
          <w:sz w:val="14"/>
          <w:szCs w:val="14"/>
          <w:b w:val="1"/>
          <w:bCs w:val="1"/>
          <w:i w:val="1"/>
          <w:iCs w:val="1"/>
          <w:color w:val="auto"/>
        </w:rPr>
        <w:t>Section 1.10</w:t>
      </w:r>
      <w:r>
        <w:rPr>
          <w:rFonts w:ascii="Times New Roman" w:cs="Times New Roman" w:eastAsia="Times New Roman" w:hAnsi="Times New Roman"/>
          <w:sz w:val="14"/>
          <w:szCs w:val="14"/>
          <w:color w:val="auto"/>
        </w:rPr>
        <w:t xml:space="preserve">), then for purposes of making any calculation with respect to such financial ratios required by this Agreement, such calculation shall be made in good faith as determined by Holdings and for the period of four fiscal quarters (or previous fiscal quarter in the case of any calculation of EBITDA) of Holdings most recently ended for which financial statements have been delivered in accordance with </w:t>
      </w:r>
      <w:r>
        <w:rPr>
          <w:rFonts w:ascii="Times New Roman" w:cs="Times New Roman" w:eastAsia="Times New Roman" w:hAnsi="Times New Roman"/>
          <w:sz w:val="14"/>
          <w:szCs w:val="14"/>
          <w:b w:val="1"/>
          <w:bCs w:val="1"/>
          <w:i w:val="1"/>
          <w:iCs w:val="1"/>
          <w:color w:val="auto"/>
        </w:rPr>
        <w:t>Section 6.1(a)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Section 6.1(b)</w:t>
      </w:r>
      <w:r>
        <w:rPr>
          <w:rFonts w:ascii="Times New Roman" w:cs="Times New Roman" w:eastAsia="Times New Roman" w:hAnsi="Times New Roman"/>
          <w:sz w:val="14"/>
          <w:szCs w:val="14"/>
          <w:color w:val="auto"/>
        </w:rPr>
        <w:t>, as applicable, and such calculation shall be acceptable to the Administrative Agent in its sole discretion and factually supportable, as certified by a Responsible Officer of Holdings to the Administrative Agent (along with evidence supporting such pro forma calculation).</w:t>
      </w:r>
    </w:p>
    <w:p>
      <w:pPr>
        <w:spacing w:after="0" w:line="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 xml:space="preserve">Notwithstanding anything to the contrary in the foregoing, for the purposes of calculating Net Income, EBITDA, Unfinanced Capital Expenditures and Fixed Charges for any period with respect to any determination of the Financial Covenants set forth in </w:t>
      </w:r>
      <w:r>
        <w:rPr>
          <w:rFonts w:ascii="Times New Roman" w:cs="Times New Roman" w:eastAsia="Times New Roman" w:hAnsi="Times New Roman"/>
          <w:sz w:val="14"/>
          <w:szCs w:val="14"/>
          <w:i w:val="1"/>
          <w:iCs w:val="1"/>
          <w:color w:val="auto"/>
        </w:rPr>
        <w:t>Section 8.1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Section 8.2</w:t>
      </w:r>
      <w:r>
        <w:rPr>
          <w:rFonts w:ascii="Times New Roman" w:cs="Times New Roman" w:eastAsia="Times New Roman" w:hAnsi="Times New Roman"/>
          <w:sz w:val="14"/>
          <w:szCs w:val="14"/>
          <w:color w:val="auto"/>
        </w:rPr>
        <w:t>, if at any time during such period Holdings or any of its Subsidiaries shall have made any Material Disposition or Material Acquisition, Net Income, EBITDA, Unfinanced Capital Expenditures and Fixed Charges for such period shall be calculated after giving pro forma effect thereto as if such Material Disposition or Material Acquisition had occurred on the first day of such period; provided that the calculations of such pro forma adjustments are factually supportable and acceptable to the Administrative Agent in its reasonable discretion.</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Notwithstanding the foregoing, solely for purposes of calculating EBITDA of Holdings and its Subsidiaries for the fiscal quarter ending June 30, 2026, upon the consummation of the Blanco Acquisition and so long as the Blanco Acquisition occurs on or prior to June 30, 2026, the parties agree that the EBITDA of Holdings and its Subsidiaries attributable solely to Blanco and its subsidiaries for such fiscal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1300"/>
          </w:cols>
          <w:pgMar w:left="300" w:top="287" w:right="299" w:bottom="1440" w:gutter="0" w:footer="0" w:header="0"/>
        </w:sectPr>
      </w:pPr>
    </w:p>
    <w:bookmarkStart w:id="128" w:name="page129"/>
    <w:bookmarkEnd w:id="128"/>
    <w:p>
      <w:pPr>
        <w:ind w:left="1068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quarter shall be deemed to equal $5,000,000 (and, for the avoidance of doubt, prior to giving effect to the annualization thereof pursuant to the definition of Annualized EBITDA).</w:t>
      </w:r>
    </w:p>
    <w:p>
      <w:pPr>
        <w:spacing w:after="0" w:line="35"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4"/>
          <w:szCs w:val="14"/>
          <w:color w:val="auto"/>
        </w:rPr>
        <w:t xml:space="preserve">Section 1.11 </w:t>
      </w:r>
      <w:r>
        <w:rPr>
          <w:rFonts w:ascii="Times New Roman" w:cs="Times New Roman" w:eastAsia="Times New Roman" w:hAnsi="Times New Roman"/>
          <w:sz w:val="14"/>
          <w:szCs w:val="14"/>
          <w:b w:val="1"/>
          <w:bCs w:val="1"/>
          <w:u w:val="single" w:color="auto"/>
          <w:color w:val="auto"/>
        </w:rPr>
        <w:t>Rates.</w:t>
      </w:r>
      <w:r>
        <w:rPr>
          <w:rFonts w:ascii="Times New Roman" w:cs="Times New Roman" w:eastAsia="Times New Roman" w:hAnsi="Times New Roman"/>
          <w:sz w:val="14"/>
          <w:szCs w:val="14"/>
          <w:color w:val="auto"/>
        </w:rPr>
        <w:t xml:space="preserve"> The Administrative Agent does not warrant or accept any responsibility for, and shall not have any liability with respect to, (a) the continuation of, administration of, submission of, calculation of or any other matter related to the Base Rate, the Term SOFR Reference Rate, Adjusted Term SOFR or Term SOFR, or any component definition thereof or rates referred to in the definition thereof, or any alternative, successor or replacement rate thereto (including any Benchmark Replacement), including the selection of such rate and any related spread or other adjustment or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the Term SOFR Reference Rate, Term SOFR, Adjusted Term SOFR, any alternative, successor or replacement rate (including any Benchmark Replacement) or any relevant adjustments thereto, in each case, in a manner adverse to the Loan Parties. The Administrative Agent may select information sources or services in its reasonable discretion to ascertain the Base Rate, the Term SOFR Reference Rate, Term SOFR, Adjusted Term SOFR or any other Benchmark, or any component definition thereof or rates referred to in the definition thereof, in each case, pursuant to the terms of this Agreement, and shall have no liability to any Loan Party,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THE COMMITMENTS AND CREDIT EXTENSIONS</w:t>
      </w:r>
    </w:p>
    <w:p>
      <w:pPr>
        <w:spacing w:after="0" w:line="37"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2.1</w:t>
      </w:r>
      <w:r>
        <w:rPr>
          <w:sz w:val="20"/>
          <w:szCs w:val="20"/>
          <w:color w:val="auto"/>
        </w:rPr>
        <w:tab/>
      </w:r>
      <w:r>
        <w:rPr>
          <w:rFonts w:ascii="Times New Roman" w:cs="Times New Roman" w:eastAsia="Times New Roman" w:hAnsi="Times New Roman"/>
          <w:sz w:val="14"/>
          <w:szCs w:val="14"/>
          <w:b w:val="1"/>
          <w:bCs w:val="1"/>
          <w:u w:val="single" w:color="auto"/>
          <w:color w:val="auto"/>
        </w:rPr>
        <w:t>The Loans.</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35" w:lineRule="exact"/>
        <w:rPr>
          <w:sz w:val="20"/>
          <w:szCs w:val="20"/>
          <w:color w:val="auto"/>
        </w:rPr>
      </w:pPr>
    </w:p>
    <w:p>
      <w:pPr>
        <w:jc w:val="both"/>
        <w:ind w:left="420" w:firstLine="436"/>
        <w:spacing w:after="0" w:line="254" w:lineRule="auto"/>
        <w:tabs>
          <w:tab w:leader="none" w:pos="1194"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Revolving Credit Borrowings</w:t>
      </w:r>
      <w:r>
        <w:rPr>
          <w:rFonts w:ascii="Times New Roman" w:cs="Times New Roman" w:eastAsia="Times New Roman" w:hAnsi="Times New Roman"/>
          <w:sz w:val="14"/>
          <w:szCs w:val="14"/>
          <w:color w:val="auto"/>
        </w:rPr>
        <w:t>. Subject to the terms and conditions of this Agreement, each Lender severally agrees to make one or more revolving credit loans (each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loan, a “</w:t>
      </w:r>
      <w:r>
        <w:rPr>
          <w:rFonts w:ascii="Times New Roman" w:cs="Times New Roman" w:eastAsia="Times New Roman" w:hAnsi="Times New Roman"/>
          <w:sz w:val="14"/>
          <w:szCs w:val="14"/>
          <w:b w:val="1"/>
          <w:bCs w:val="1"/>
          <w:i w:val="1"/>
          <w:iCs w:val="1"/>
          <w:color w:val="auto"/>
        </w:rPr>
        <w:t>Revolving Credit Loan</w:t>
      </w:r>
      <w:r>
        <w:rPr>
          <w:rFonts w:ascii="Times New Roman" w:cs="Times New Roman" w:eastAsia="Times New Roman" w:hAnsi="Times New Roman"/>
          <w:sz w:val="14"/>
          <w:szCs w:val="14"/>
          <w:color w:val="auto"/>
        </w:rPr>
        <w:t xml:space="preserve">”) to Borrowers from time to time from the Closing Date until the Maturity Date in an aggregate principal amount for such Lender at any time outstanding up to but not exceeding the amount of such Lender’s Commitment,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Revolving Credit Exposure of all Lenders shall not exceed the Line Cap then in effect. Subject to the foregoing limitations, and the other terms and provisions of this Agreement, Borrowers may borrow, repay, and reborrow Revolving Credit Loans hereunder.</w:t>
      </w:r>
    </w:p>
    <w:p>
      <w:pPr>
        <w:spacing w:after="0" w:line="2" w:lineRule="exact"/>
        <w:rPr>
          <w:rFonts w:ascii="Times New Roman" w:cs="Times New Roman" w:eastAsia="Times New Roman" w:hAnsi="Times New Roman"/>
          <w:sz w:val="14"/>
          <w:szCs w:val="14"/>
          <w:b w:val="1"/>
          <w:bCs w:val="1"/>
          <w:color w:val="auto"/>
        </w:rPr>
      </w:pPr>
    </w:p>
    <w:p>
      <w:pPr>
        <w:jc w:val="both"/>
        <w:ind w:left="420" w:firstLine="436"/>
        <w:spacing w:after="0" w:line="246" w:lineRule="auto"/>
        <w:tabs>
          <w:tab w:leader="none" w:pos="1208"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Borrowing Procedure</w:t>
      </w:r>
      <w:r>
        <w:rPr>
          <w:rFonts w:ascii="Times New Roman" w:cs="Times New Roman" w:eastAsia="Times New Roman" w:hAnsi="Times New Roman"/>
          <w:sz w:val="14"/>
          <w:szCs w:val="14"/>
          <w:color w:val="auto"/>
        </w:rPr>
        <w:t>. Each Revolving Credit Borrowing, each conversion of a Borrowing from one Type to the other, and each continuation of a Term SOFR Borrowing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shall be made upon the Borrower Representative’s irrevocable notice to Administrative Agent, which may be given by telephone. Each such notice must be received by Administrative Agent not later than 11:00 a.m. (i) three (3) U.S. Government Securities Business Days prior to the requested date of any Borrowing of, conversion to or continuation of a Term SOFR Borrowing to a Base Rate Borrowing, and (ii) on the requested date of any Base Rate Borrowing. Each telephonic notice by the Borrower Representative pursuant to this </w:t>
      </w:r>
      <w:r>
        <w:rPr>
          <w:rFonts w:ascii="Times New Roman" w:cs="Times New Roman" w:eastAsia="Times New Roman" w:hAnsi="Times New Roman"/>
          <w:sz w:val="14"/>
          <w:szCs w:val="14"/>
          <w:b w:val="1"/>
          <w:bCs w:val="1"/>
          <w:i w:val="1"/>
          <w:iCs w:val="1"/>
          <w:color w:val="auto"/>
        </w:rPr>
        <w:t>Section 2.1(b)</w:t>
      </w:r>
      <w:r>
        <w:rPr>
          <w:rFonts w:ascii="Times New Roman" w:cs="Times New Roman" w:eastAsia="Times New Roman" w:hAnsi="Times New Roman"/>
          <w:sz w:val="14"/>
          <w:szCs w:val="14"/>
          <w:color w:val="auto"/>
        </w:rPr>
        <w:t xml:space="preserve"> must be confirmed promptly by delivery to Administrative Agent of a written Borrowing Request, appropriately completed and signed by a Responsible Officer of the Borrower Representative. Each Borrowing of, conversion to or continuation of a Term SOFR Borrowing shall be in a principal amount of $250,000 or a whole multiple of $50,000 in excess thereof. Except as provided in </w:t>
      </w:r>
      <w:r>
        <w:rPr>
          <w:rFonts w:ascii="Times New Roman" w:cs="Times New Roman" w:eastAsia="Times New Roman" w:hAnsi="Times New Roman"/>
          <w:sz w:val="14"/>
          <w:szCs w:val="14"/>
          <w:b w:val="1"/>
          <w:bCs w:val="1"/>
          <w:i w:val="1"/>
          <w:iCs w:val="1"/>
          <w:color w:val="auto"/>
        </w:rPr>
        <w:t>Sections 2.2(c)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2.3(c)</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1300"/>
          </w:cols>
          <w:pgMar w:left="300" w:top="287" w:right="299" w:bottom="1440" w:gutter="0" w:footer="0" w:header="0"/>
        </w:sectPr>
      </w:pPr>
    </w:p>
    <w:bookmarkStart w:id="129" w:name="page130"/>
    <w:bookmarkEnd w:id="129"/>
    <w:p>
      <w:pPr>
        <w:ind w:left="1026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 xml:space="preserve">each Borrowing of or conversion to a Base Rate Borrowing shall be in a principal amount of $250,000 or a whole multiple of $50,000 in excess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Base Rate Borrowing may be in an amount equal to Availability. Each Borrowing Request (whether telephonic or written) shall specify (A) whether the Borrower Representative is requesting a Revolving Credit Borrowing, a conversion of Borrowings from one Type to the other, or a continuation of Borrowings, (B) the requested date of the Borrowing, conversion or continuation, as the case may be (which shall be a Business Day), (C) the principal amount of Borrowings to be borrowed, converted or continued, (D) the Type of Borrowings to be borrowed or to which existing Borrowings are to be converted, and (E) if applicable, the duration of the Interest Period with respect thereto. If the Borrower Representative fails to specify a Type of Borrowing in a Borrowing Request or if the Borrower Representative fails to give a timely notice requesting a conversion or continuation, then the applicable Borrowing shall be made as, or converted to, a Base Rate Borrowing. Any such automatic conversion to Base Rate Borrowings shall be effective as of the last day of the Interest Period then in effect with respect to the applicable Term SOFR Borrowing. If the Borrower Representative requests a Borrowing of, conversion to, or continuation of a Term SOFR Borrowing in any such Borrowing Request, but fails to specify an Interest Period, it will be deemed to have specified an Interest Period of one (1) month.</w:t>
      </w:r>
    </w:p>
    <w:p>
      <w:pPr>
        <w:spacing w:after="0" w:line="6" w:lineRule="exact"/>
        <w:rPr>
          <w:sz w:val="20"/>
          <w:szCs w:val="20"/>
          <w:color w:val="auto"/>
        </w:rPr>
      </w:pPr>
    </w:p>
    <w:p>
      <w:pPr>
        <w:jc w:val="both"/>
        <w:ind w:firstLine="436"/>
        <w:spacing w:after="0" w:line="244" w:lineRule="auto"/>
        <w:tabs>
          <w:tab w:leader="none" w:pos="772"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Funding</w:t>
      </w:r>
      <w:r>
        <w:rPr>
          <w:rFonts w:ascii="Times New Roman" w:cs="Times New Roman" w:eastAsia="Times New Roman" w:hAnsi="Times New Roman"/>
          <w:sz w:val="14"/>
          <w:szCs w:val="14"/>
          <w:color w:val="auto"/>
        </w:rPr>
        <w:t>. Following receipt of a Borrowing Request, Administrative Agent shall promptly notify each Lender of the amount of its Applicable Percentage of the applicable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Borrowing, and if no timely notice of a conversion or continuation is provided by the Borrower Representative, Administrative Agent shall notify each Lender of the details of any automatic conversion to Base Rate Borrowing as described in </w:t>
      </w:r>
      <w:r>
        <w:rPr>
          <w:rFonts w:ascii="Times New Roman" w:cs="Times New Roman" w:eastAsia="Times New Roman" w:hAnsi="Times New Roman"/>
          <w:sz w:val="14"/>
          <w:szCs w:val="14"/>
          <w:b w:val="1"/>
          <w:bCs w:val="1"/>
          <w:i w:val="1"/>
          <w:iCs w:val="1"/>
          <w:color w:val="auto"/>
        </w:rPr>
        <w:t>Section 2.1(b)</w:t>
      </w:r>
      <w:r>
        <w:rPr>
          <w:rFonts w:ascii="Times New Roman" w:cs="Times New Roman" w:eastAsia="Times New Roman" w:hAnsi="Times New Roman"/>
          <w:sz w:val="14"/>
          <w:szCs w:val="14"/>
          <w:color w:val="auto"/>
        </w:rPr>
        <w:t xml:space="preserve">. In the case of a Revolving Credit Borrowing, each Lender shall make the amount of its Loan available to Administrative Agent in immediately available funds at Administrative Agent’s Principal Office not later than 1:00 p.m. on the Business Day specified in the applicable Borrowing Request. Upon satisfaction of the applicable conditions set forth in </w:t>
      </w:r>
      <w:r>
        <w:rPr>
          <w:rFonts w:ascii="Times New Roman" w:cs="Times New Roman" w:eastAsia="Times New Roman" w:hAnsi="Times New Roman"/>
          <w:sz w:val="14"/>
          <w:szCs w:val="14"/>
          <w:b w:val="1"/>
          <w:bCs w:val="1"/>
          <w:i w:val="1"/>
          <w:iCs w:val="1"/>
          <w:color w:val="auto"/>
        </w:rPr>
        <w:t>Section 4.2</w:t>
      </w:r>
      <w:r>
        <w:rPr>
          <w:rFonts w:ascii="Times New Roman" w:cs="Times New Roman" w:eastAsia="Times New Roman" w:hAnsi="Times New Roman"/>
          <w:sz w:val="14"/>
          <w:szCs w:val="14"/>
          <w:color w:val="auto"/>
        </w:rPr>
        <w:t xml:space="preserve"> (and, if such Borrowing is the initial Credit Extension, </w:t>
      </w:r>
      <w:r>
        <w:rPr>
          <w:rFonts w:ascii="Times New Roman" w:cs="Times New Roman" w:eastAsia="Times New Roman" w:hAnsi="Times New Roman"/>
          <w:sz w:val="14"/>
          <w:szCs w:val="14"/>
          <w:b w:val="1"/>
          <w:bCs w:val="1"/>
          <w:i w:val="1"/>
          <w:iCs w:val="1"/>
          <w:color w:val="auto"/>
        </w:rPr>
        <w:t>Section 4.1</w:t>
      </w:r>
      <w:r>
        <w:rPr>
          <w:rFonts w:ascii="Times New Roman" w:cs="Times New Roman" w:eastAsia="Times New Roman" w:hAnsi="Times New Roman"/>
          <w:sz w:val="14"/>
          <w:szCs w:val="14"/>
          <w:color w:val="auto"/>
        </w:rPr>
        <w:t xml:space="preserve">), Administrative Agent shall make all funds so received available to the applicable Borrower in like funds as received by Administrative Agent either by (i) crediting the account of the applicable Borrower on the books of Texas Capital Bank with the amount of such funds or (ii) wire transfer of such funds, in each case in accordance with instructions provided to (and reasonably acceptable to) Administrative Agent by the Borrower Representative;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if, on the date the Borrowing Request with respect to such Borrowing is given by the Borrower Representative, there are L/C Borrowings outstanding, then the proceeds of such Borrowing, </w:t>
      </w:r>
      <w:r>
        <w:rPr>
          <w:rFonts w:ascii="Times New Roman" w:cs="Times New Roman" w:eastAsia="Times New Roman" w:hAnsi="Times New Roman"/>
          <w:sz w:val="14"/>
          <w:szCs w:val="14"/>
          <w:i w:val="1"/>
          <w:iCs w:val="1"/>
          <w:color w:val="auto"/>
        </w:rPr>
        <w:t>first</w:t>
      </w:r>
      <w:r>
        <w:rPr>
          <w:rFonts w:ascii="Times New Roman" w:cs="Times New Roman" w:eastAsia="Times New Roman" w:hAnsi="Times New Roman"/>
          <w:sz w:val="14"/>
          <w:szCs w:val="14"/>
          <w:color w:val="auto"/>
        </w:rPr>
        <w:t xml:space="preserve">, shall be applied to the payment in full of any such L/C Borrowings, and </w:t>
      </w:r>
      <w:r>
        <w:rPr>
          <w:rFonts w:ascii="Times New Roman" w:cs="Times New Roman" w:eastAsia="Times New Roman" w:hAnsi="Times New Roman"/>
          <w:sz w:val="14"/>
          <w:szCs w:val="14"/>
          <w:i w:val="1"/>
          <w:iCs w:val="1"/>
          <w:color w:val="auto"/>
        </w:rPr>
        <w:t>second</w:t>
      </w:r>
      <w:r>
        <w:rPr>
          <w:rFonts w:ascii="Times New Roman" w:cs="Times New Roman" w:eastAsia="Times New Roman" w:hAnsi="Times New Roman"/>
          <w:sz w:val="14"/>
          <w:szCs w:val="14"/>
          <w:color w:val="auto"/>
        </w:rPr>
        <w:t>, shall be made available to the applicable Borrower as provided above.</w:t>
      </w:r>
    </w:p>
    <w:p>
      <w:pPr>
        <w:spacing w:after="0" w:line="173" w:lineRule="exact"/>
        <w:rPr>
          <w:rFonts w:ascii="Times New Roman" w:cs="Times New Roman" w:eastAsia="Times New Roman" w:hAnsi="Times New Roman"/>
          <w:sz w:val="14"/>
          <w:szCs w:val="14"/>
          <w:b w:val="1"/>
          <w:bCs w:val="1"/>
          <w:color w:val="auto"/>
        </w:rPr>
      </w:pPr>
    </w:p>
    <w:p>
      <w:pPr>
        <w:jc w:val="both"/>
        <w:ind w:firstLine="436"/>
        <w:spacing w:after="0" w:line="254" w:lineRule="auto"/>
        <w:tabs>
          <w:tab w:leader="none" w:pos="764"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Continuations and Conversions</w:t>
      </w:r>
      <w:r>
        <w:rPr>
          <w:rFonts w:ascii="Times New Roman" w:cs="Times New Roman" w:eastAsia="Times New Roman" w:hAnsi="Times New Roman"/>
          <w:sz w:val="14"/>
          <w:szCs w:val="14"/>
          <w:color w:val="auto"/>
        </w:rPr>
        <w:t>. Except as otherwise provided herein, a Term SOFR Borrowing may be continued or converted only on the last day of an Interest Period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Term SOFR Borrowing. While an Event of Default has occurred and is continuing, (i) no Loans may be requested as, converted to or continued as Term SOFR Borrowings without the consent of the Required Lenders and (ii) unless repaid, each Term SOFR Borrowing shall be converted to a Base Rate Borrowing at the end of the Interest Period applicable thereto. This Section shall not apply to Borrowings consisting of Swing Line Loans, which may not be converted or continued.</w:t>
      </w:r>
    </w:p>
    <w:p>
      <w:pPr>
        <w:spacing w:after="0" w:line="2" w:lineRule="exact"/>
        <w:rPr>
          <w:rFonts w:ascii="Times New Roman" w:cs="Times New Roman" w:eastAsia="Times New Roman" w:hAnsi="Times New Roman"/>
          <w:sz w:val="14"/>
          <w:szCs w:val="14"/>
          <w:b w:val="1"/>
          <w:bCs w:val="1"/>
          <w:color w:val="auto"/>
        </w:rPr>
      </w:pPr>
    </w:p>
    <w:p>
      <w:pPr>
        <w:jc w:val="both"/>
        <w:ind w:firstLine="436"/>
        <w:spacing w:after="0" w:line="259" w:lineRule="auto"/>
        <w:tabs>
          <w:tab w:leader="none" w:pos="799"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Notifications</w:t>
      </w:r>
      <w:r>
        <w:rPr>
          <w:rFonts w:ascii="Times New Roman" w:cs="Times New Roman" w:eastAsia="Times New Roman" w:hAnsi="Times New Roman"/>
          <w:sz w:val="14"/>
          <w:szCs w:val="14"/>
          <w:color w:val="auto"/>
        </w:rPr>
        <w:t>. Administrative Agent shall promptly notify the Borrower Representative and Lenders of the interest rate applicable to any Interest Period for Term SOFR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Borrowings upon determination of such interest rate. At any time that Base Rate Borrowings are outstanding, Administrative Agent shall notify the Borrower Representative and Lenders of any change in Texas Capital Bank’s prime rate used in determining the Base Rate promptly following the public announcement of such change.</w:t>
      </w:r>
    </w:p>
    <w:p>
      <w:pPr>
        <w:ind w:left="720" w:hanging="284"/>
        <w:spacing w:after="0"/>
        <w:tabs>
          <w:tab w:leader="none" w:pos="720"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Interest Periods</w:t>
      </w:r>
      <w:r>
        <w:rPr>
          <w:rFonts w:ascii="Times New Roman" w:cs="Times New Roman" w:eastAsia="Times New Roman" w:hAnsi="Times New Roman"/>
          <w:sz w:val="14"/>
          <w:szCs w:val="14"/>
          <w:color w:val="auto"/>
        </w:rPr>
        <w:t>. After giving effect to all Borrowings, all conversions of Borrowings from one Type to the other, and all continuations of Borrowings as the same Type,</w:t>
      </w:r>
    </w:p>
    <w:p>
      <w:pPr>
        <w:spacing w:after="0" w:line="200" w:lineRule="exact"/>
        <w:rPr>
          <w:sz w:val="20"/>
          <w:szCs w:val="20"/>
          <w:color w:val="auto"/>
        </w:rPr>
      </w:pPr>
    </w:p>
    <w:p>
      <w:pPr>
        <w:spacing w:after="0" w:line="2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880"/>
          </w:cols>
          <w:pgMar w:left="720" w:top="287" w:right="299" w:bottom="1440" w:gutter="0" w:footer="0" w:header="0"/>
        </w:sectPr>
      </w:pPr>
    </w:p>
    <w:bookmarkStart w:id="130" w:name="page131"/>
    <w:bookmarkEnd w:id="130"/>
    <w:p>
      <w:pPr>
        <w:ind w:left="1026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shall not be more than five (5) Interest Periods in effect with respect to Benchmark Rate Borrowings.</w:t>
      </w:r>
    </w:p>
    <w:p>
      <w:pPr>
        <w:spacing w:after="0" w:line="3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color w:val="auto"/>
        </w:rPr>
        <w:t>Section 2.2</w:t>
      </w:r>
      <w:r>
        <w:rPr>
          <w:sz w:val="20"/>
          <w:szCs w:val="20"/>
          <w:color w:val="auto"/>
        </w:rPr>
        <w:tab/>
      </w:r>
      <w:r>
        <w:rPr>
          <w:rFonts w:ascii="Times New Roman" w:cs="Times New Roman" w:eastAsia="Times New Roman" w:hAnsi="Times New Roman"/>
          <w:sz w:val="14"/>
          <w:szCs w:val="14"/>
          <w:b w:val="1"/>
          <w:bCs w:val="1"/>
          <w:u w:val="single" w:color="auto"/>
          <w:color w:val="auto"/>
        </w:rPr>
        <w:t>Letters of Credit.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5" w:lineRule="exact"/>
        <w:rPr>
          <w:sz w:val="20"/>
          <w:szCs w:val="20"/>
          <w:color w:val="auto"/>
        </w:rPr>
      </w:pPr>
    </w:p>
    <w:p>
      <w:pPr>
        <w:ind w:left="740" w:hanging="304"/>
        <w:spacing w:after="0"/>
        <w:tabs>
          <w:tab w:leader="none" w:pos="740" w:val="left"/>
        </w:tabs>
        <w:numPr>
          <w:ilvl w:val="0"/>
          <w:numId w:val="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The Letter of Credit Commitment</w:t>
      </w:r>
      <w:r>
        <w:rPr>
          <w:rFonts w:ascii="Times New Roman" w:cs="Times New Roman" w:eastAsia="Times New Roman" w:hAnsi="Times New Roman"/>
          <w:sz w:val="14"/>
          <w:szCs w:val="14"/>
          <w:color w:val="auto"/>
        </w:rPr>
        <w:t>.</w:t>
      </w:r>
    </w:p>
    <w:p>
      <w:pPr>
        <w:spacing w:after="0" w:line="35" w:lineRule="exact"/>
        <w:rPr>
          <w:rFonts w:ascii="Times New Roman" w:cs="Times New Roman" w:eastAsia="Times New Roman" w:hAnsi="Times New Roman"/>
          <w:sz w:val="14"/>
          <w:szCs w:val="14"/>
          <w:b w:val="1"/>
          <w:bCs w:val="1"/>
          <w:color w:val="auto"/>
        </w:rPr>
      </w:pPr>
    </w:p>
    <w:p>
      <w:pPr>
        <w:jc w:val="both"/>
        <w:ind w:left="440" w:firstLine="428"/>
        <w:spacing w:after="0" w:line="245" w:lineRule="auto"/>
        <w:tabs>
          <w:tab w:leader="none" w:pos="1164"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terms and conditions set forth herein, (A) L/C Issuer agrees, in reliance upon the agreements of the Lenders set forth in this </w:t>
      </w:r>
      <w:r>
        <w:rPr>
          <w:rFonts w:ascii="Times New Roman" w:cs="Times New Roman" w:eastAsia="Times New Roman" w:hAnsi="Times New Roman"/>
          <w:sz w:val="14"/>
          <w:szCs w:val="14"/>
          <w:b w:val="1"/>
          <w:bCs w:val="1"/>
          <w:i w:val="1"/>
          <w:iCs w:val="1"/>
          <w:color w:val="auto"/>
        </w:rPr>
        <w:t>Section 2.2</w:t>
      </w:r>
      <w:r>
        <w:rPr>
          <w:rFonts w:ascii="Times New Roman" w:cs="Times New Roman" w:eastAsia="Times New Roman" w:hAnsi="Times New Roman"/>
          <w:sz w:val="14"/>
          <w:szCs w:val="14"/>
          <w:color w:val="auto"/>
        </w:rPr>
        <w:t xml:space="preserve">, (1) from time to time on any Business Day during the period from the Closing Date until the Letter of Credit Expiration Date, to issue Letters of Credit for the account of any Borrower, and to amend or extend Letters of Credit previously issued by it, in accordance with </w:t>
      </w:r>
      <w:r>
        <w:rPr>
          <w:rFonts w:ascii="Times New Roman" w:cs="Times New Roman" w:eastAsia="Times New Roman" w:hAnsi="Times New Roman"/>
          <w:sz w:val="14"/>
          <w:szCs w:val="14"/>
          <w:b w:val="1"/>
          <w:bCs w:val="1"/>
          <w:i w:val="1"/>
          <w:iCs w:val="1"/>
          <w:color w:val="auto"/>
        </w:rPr>
        <w:t>subsection (b)</w:t>
      </w:r>
      <w:r>
        <w:rPr>
          <w:rFonts w:ascii="Times New Roman" w:cs="Times New Roman" w:eastAsia="Times New Roman" w:hAnsi="Times New Roman"/>
          <w:sz w:val="14"/>
          <w:szCs w:val="14"/>
          <w:color w:val="auto"/>
        </w:rPr>
        <w:t xml:space="preserve"> below, and (2) to honor drawings under the Letters of Credit; and (B) Lenders severally agree to participate in Letters of Credit issued for the account of any Borrower and any drawings thereunder;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immediately after giving effect to any L/C Credit Extension with respect to any Letter of Credit, (x) the Revolving Credit Exposure of all Lenders shall not exceed the Line Cap in effect at such time, (y) the Revolving Credit Exposure of any Lender shall not exceed such Lender’s Commitment, and (z) the Outstanding Amount of the L/C Obligations shall not exceed the Letter of Credit Sublimit. Each request by the Borrower Representative for the issuance or amendment of a Letter of Credit shall be deemed to be a representation by Borrowers that the L/C Credit Extension so requested complies with the conditions set forth in the proviso to the preceding sentence. Within the foregoing limits, and subject to the terms and conditions hereof, each Borrower’s ability to obtain Letters of Credit shall be fully revolving, and accordingly Borrowers may, during the foregoing period, obtain Letters of Credit to replace Letters of Credit that have expired or that have been drawn upon and reimbursed.</w:t>
      </w:r>
    </w:p>
    <w:p>
      <w:pPr>
        <w:spacing w:after="0" w:line="7" w:lineRule="exact"/>
        <w:rPr>
          <w:rFonts w:ascii="Times New Roman" w:cs="Times New Roman" w:eastAsia="Times New Roman" w:hAnsi="Times New Roman"/>
          <w:sz w:val="14"/>
          <w:szCs w:val="14"/>
          <w:color w:val="auto"/>
        </w:rPr>
      </w:pPr>
    </w:p>
    <w:p>
      <w:pPr>
        <w:ind w:left="1180" w:hanging="312"/>
        <w:spacing w:after="0"/>
        <w:tabs>
          <w:tab w:leader="none" w:pos="1180"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L/C Issuer shall not issue any Letter of Credit, if:</w:t>
      </w:r>
    </w:p>
    <w:p>
      <w:pPr>
        <w:spacing w:after="0" w:line="33" w:lineRule="exact"/>
        <w:rPr>
          <w:rFonts w:ascii="Times New Roman" w:cs="Times New Roman" w:eastAsia="Times New Roman" w:hAnsi="Times New Roman"/>
          <w:sz w:val="14"/>
          <w:szCs w:val="14"/>
          <w:color w:val="auto"/>
        </w:rPr>
      </w:pPr>
    </w:p>
    <w:p>
      <w:pPr>
        <w:ind w:left="860" w:right="20" w:firstLine="440"/>
        <w:spacing w:after="0" w:line="264" w:lineRule="auto"/>
        <w:tabs>
          <w:tab w:leader="none" w:pos="1684" w:val="left"/>
        </w:tabs>
        <w:numPr>
          <w:ilvl w:val="2"/>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b w:val="1"/>
          <w:bCs w:val="1"/>
          <w:i w:val="1"/>
          <w:iCs w:val="1"/>
          <w:color w:val="auto"/>
        </w:rPr>
        <w:t>Section 2.2(b)(iii)</w:t>
      </w:r>
      <w:r>
        <w:rPr>
          <w:rFonts w:ascii="Times New Roman" w:cs="Times New Roman" w:eastAsia="Times New Roman" w:hAnsi="Times New Roman"/>
          <w:sz w:val="14"/>
          <w:szCs w:val="14"/>
          <w:color w:val="auto"/>
        </w:rPr>
        <w:t>, the expiry date of the requested Letter of Credit would occur more than twelve (12) months after the date of issuance or last extension, unless Required Lenders have approved such expiry date; or</w:t>
      </w:r>
    </w:p>
    <w:p>
      <w:pPr>
        <w:ind w:left="1640" w:hanging="340"/>
        <w:spacing w:after="0"/>
        <w:tabs>
          <w:tab w:leader="none" w:pos="1640" w:val="left"/>
        </w:tabs>
        <w:numPr>
          <w:ilvl w:val="2"/>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expiry date of the requested Letter of Credit would occur after the Letter of Credit Expiration Date, unless all Lenders have approved such expiry date.</w:t>
      </w:r>
    </w:p>
    <w:p>
      <w:pPr>
        <w:spacing w:after="0" w:line="37" w:lineRule="exact"/>
        <w:rPr>
          <w:rFonts w:ascii="Times New Roman" w:cs="Times New Roman" w:eastAsia="Times New Roman" w:hAnsi="Times New Roman"/>
          <w:sz w:val="14"/>
          <w:szCs w:val="14"/>
          <w:color w:val="auto"/>
        </w:rPr>
      </w:pPr>
    </w:p>
    <w:p>
      <w:pPr>
        <w:ind w:left="1220" w:hanging="352"/>
        <w:spacing w:after="0"/>
        <w:tabs>
          <w:tab w:leader="none" w:pos="1220"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L/C Issuer shall not be under any obligation to issue any Letter of Credit if:</w:t>
      </w:r>
    </w:p>
    <w:p>
      <w:pPr>
        <w:spacing w:after="0" w:line="37" w:lineRule="exact"/>
        <w:rPr>
          <w:rFonts w:ascii="Times New Roman" w:cs="Times New Roman" w:eastAsia="Times New Roman" w:hAnsi="Times New Roman"/>
          <w:sz w:val="14"/>
          <w:szCs w:val="14"/>
          <w:color w:val="auto"/>
        </w:rPr>
      </w:pPr>
    </w:p>
    <w:p>
      <w:pPr>
        <w:jc w:val="both"/>
        <w:ind w:left="860" w:firstLine="440"/>
        <w:spacing w:after="0" w:line="250" w:lineRule="auto"/>
        <w:tabs>
          <w:tab w:leader="none" w:pos="1653" w:val="left"/>
        </w:tabs>
        <w:numPr>
          <w:ilvl w:val="2"/>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order, judgment or decree of any Governmental Authority or arbitrator shall by its terms purport to enjoin or restrain L/C Issuer from issuing the Letter of Credit, or any Law applicable to L/C Issuer or any request or directive (whether or not having the force of law) from any Governmental Authority with jurisdiction over L/C Issuer shall prohibit, or request that L/C Issuer refrain from, the issuance of letters of credit generally or the Letter of Credit in particular or shall impose upon L/C Issuer with respect to the Letter of Credit any restriction, reserve or capital requirement (for which L/C Issuer is not otherwise compensated hereunder) not in effect on the Closing Date, or shall impose upon L/C Issuer any unreimbursed loss, cost or expense which was not applicable on the Closing Date and which L/C Issuer in good faith deems material to it;</w:t>
      </w:r>
    </w:p>
    <w:p>
      <w:pPr>
        <w:spacing w:after="0" w:line="169" w:lineRule="exact"/>
        <w:rPr>
          <w:rFonts w:ascii="Times New Roman" w:cs="Times New Roman" w:eastAsia="Times New Roman" w:hAnsi="Times New Roman"/>
          <w:sz w:val="14"/>
          <w:szCs w:val="14"/>
          <w:color w:val="auto"/>
        </w:rPr>
      </w:pPr>
    </w:p>
    <w:p>
      <w:pPr>
        <w:ind w:left="1640" w:hanging="340"/>
        <w:spacing w:after="0"/>
        <w:tabs>
          <w:tab w:leader="none" w:pos="1640" w:val="left"/>
        </w:tabs>
        <w:numPr>
          <w:ilvl w:val="2"/>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agreed by Administrative Agent and L/C Issuer, the Letter of Credit is in an initial stated amount less than $50,000;</w:t>
      </w:r>
    </w:p>
    <w:p>
      <w:pPr>
        <w:spacing w:after="0" w:line="37" w:lineRule="exact"/>
        <w:rPr>
          <w:rFonts w:ascii="Times New Roman" w:cs="Times New Roman" w:eastAsia="Times New Roman" w:hAnsi="Times New Roman"/>
          <w:sz w:val="14"/>
          <w:szCs w:val="14"/>
          <w:color w:val="auto"/>
        </w:rPr>
      </w:pPr>
    </w:p>
    <w:p>
      <w:pPr>
        <w:ind w:left="1640" w:hanging="340"/>
        <w:spacing w:after="0"/>
        <w:tabs>
          <w:tab w:leader="none" w:pos="1640" w:val="left"/>
        </w:tabs>
        <w:numPr>
          <w:ilvl w:val="2"/>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Letter of Credit is to be denominated in a currency other than Dollars;</w:t>
      </w:r>
    </w:p>
    <w:p>
      <w:pPr>
        <w:spacing w:after="0" w:line="28" w:lineRule="exact"/>
        <w:rPr>
          <w:rFonts w:ascii="Times New Roman" w:cs="Times New Roman" w:eastAsia="Times New Roman" w:hAnsi="Times New Roman"/>
          <w:sz w:val="14"/>
          <w:szCs w:val="14"/>
          <w:color w:val="auto"/>
        </w:rPr>
      </w:pPr>
    </w:p>
    <w:p>
      <w:pPr>
        <w:ind w:left="860" w:firstLine="440"/>
        <w:spacing w:after="0" w:line="282" w:lineRule="auto"/>
        <w:tabs>
          <w:tab w:leader="none" w:pos="1662" w:val="left"/>
        </w:tabs>
        <w:numPr>
          <w:ilvl w:val="2"/>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Lender is at that time a Defaulting Lender, unless L/C Issuer has entered into arrangements, including the delivery of Cash Collateral, satisfactory to L/C Issuer (in its sole discretion) with Borrowers or such Lender to eliminate L/C</w:t>
      </w:r>
    </w:p>
    <w:p>
      <w:pPr>
        <w:spacing w:after="0" w:line="36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880"/>
          </w:cols>
          <w:pgMar w:left="720" w:top="287" w:right="29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jc w:val="both"/>
        <w:ind w:left="140"/>
        <w:spacing w:after="0" w:line="261" w:lineRule="auto"/>
        <w:rPr>
          <w:sz w:val="20"/>
          <w:szCs w:val="20"/>
          <w:color w:val="auto"/>
        </w:rPr>
      </w:pPr>
      <w:r>
        <w:rPr>
          <w:rFonts w:ascii="Times New Roman" w:cs="Times New Roman" w:eastAsia="Times New Roman" w:hAnsi="Times New Roman"/>
          <w:sz w:val="14"/>
          <w:szCs w:val="14"/>
          <w:color w:val="auto"/>
        </w:rPr>
        <w:t xml:space="preserve">Issuer’s actual or potential Fronting Exposure (after giving effect to </w:t>
      </w:r>
      <w:r>
        <w:rPr>
          <w:rFonts w:ascii="Times New Roman" w:cs="Times New Roman" w:eastAsia="Times New Roman" w:hAnsi="Times New Roman"/>
          <w:sz w:val="14"/>
          <w:szCs w:val="14"/>
          <w:b w:val="1"/>
          <w:bCs w:val="1"/>
          <w:i w:val="1"/>
          <w:iCs w:val="1"/>
          <w:color w:val="auto"/>
        </w:rPr>
        <w:t>Section 11.21(a)(iv)</w:t>
      </w:r>
      <w:r>
        <w:rPr>
          <w:rFonts w:ascii="Times New Roman" w:cs="Times New Roman" w:eastAsia="Times New Roman" w:hAnsi="Times New Roman"/>
          <w:sz w:val="14"/>
          <w:szCs w:val="14"/>
          <w:color w:val="auto"/>
        </w:rPr>
        <w:t>) with respect to the Defaulting Lender arising from either the Letter of Credit then proposed to be issued or that Letter of Credit and all other L/C Obligations as to which L/C Issuer has actual or potential Fronting Exposure, as it may elect in its sole discretion; or</w:t>
      </w:r>
    </w:p>
    <w:p>
      <w:pPr>
        <w:spacing w:after="0" w:line="1" w:lineRule="exact"/>
        <w:rPr>
          <w:sz w:val="20"/>
          <w:szCs w:val="20"/>
          <w:color w:val="auto"/>
        </w:rPr>
      </w:pPr>
    </w:p>
    <w:p>
      <w:pPr>
        <w:ind w:left="900" w:hanging="320"/>
        <w:spacing w:after="0"/>
        <w:tabs>
          <w:tab w:leader="none" w:pos="900"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Letter of Credit contains any provisions for automatic reinstatement of the stated amount after any drawing thereunder.</w:t>
      </w:r>
    </w:p>
    <w:p>
      <w:pPr>
        <w:spacing w:after="0" w:line="37" w:lineRule="exact"/>
        <w:rPr>
          <w:rFonts w:ascii="Times New Roman" w:cs="Times New Roman" w:eastAsia="Times New Roman" w:hAnsi="Times New Roman"/>
          <w:sz w:val="14"/>
          <w:szCs w:val="14"/>
          <w:color w:val="auto"/>
        </w:rPr>
      </w:pPr>
    </w:p>
    <w:p>
      <w:pPr>
        <w:ind w:left="140" w:firstLine="8"/>
        <w:spacing w:after="0" w:line="261" w:lineRule="auto"/>
        <w:tabs>
          <w:tab w:leader="none" w:pos="528"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L/C Issuer shall not amend any Letter of Credit if L/C Issuer would not be permitted at such time to issue the Letter of Credit in its amended form under the terms hereof.</w:t>
      </w:r>
    </w:p>
    <w:p>
      <w:pPr>
        <w:spacing w:after="0" w:line="175" w:lineRule="exact"/>
        <w:rPr>
          <w:rFonts w:ascii="Times New Roman" w:cs="Times New Roman" w:eastAsia="Times New Roman" w:hAnsi="Times New Roman"/>
          <w:sz w:val="14"/>
          <w:szCs w:val="14"/>
          <w:color w:val="auto"/>
        </w:rPr>
      </w:pPr>
    </w:p>
    <w:p>
      <w:pPr>
        <w:ind w:left="140" w:firstLine="8"/>
        <w:spacing w:after="0" w:line="268" w:lineRule="auto"/>
        <w:tabs>
          <w:tab w:leader="none" w:pos="513"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L/C Issuer shall be under no obligation to amend any Letter of Credit if (A) L/C Issuer would have no obligation at such time to issue the Letter of Credit in its amended form under the terms hereof, or (B) the beneficiary of the Letter of Credit does not accept the proposed amendment to the Letter of Credit.</w:t>
      </w:r>
    </w:p>
    <w:p>
      <w:pPr>
        <w:jc w:val="both"/>
        <w:ind w:left="140" w:firstLine="8"/>
        <w:spacing w:after="0" w:line="254" w:lineRule="auto"/>
        <w:tabs>
          <w:tab w:leader="none" w:pos="503"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L/C Issuer shall act on behalf of Lenders with respect to any Letters of Credit issued by it and the documents associated therewith, and L/C Issuer shall have all of the benefits and immunities (A) provided to Administrative Agent in </w:t>
      </w:r>
      <w:r>
        <w:rPr>
          <w:rFonts w:ascii="Times New Roman" w:cs="Times New Roman" w:eastAsia="Times New Roman" w:hAnsi="Times New Roman"/>
          <w:sz w:val="14"/>
          <w:szCs w:val="14"/>
          <w:b w:val="1"/>
          <w:bCs w:val="1"/>
          <w:i w:val="1"/>
          <w:iCs w:val="1"/>
          <w:color w:val="auto"/>
        </w:rPr>
        <w:t>Article 10</w:t>
      </w:r>
      <w:r>
        <w:rPr>
          <w:rFonts w:ascii="Times New Roman" w:cs="Times New Roman" w:eastAsia="Times New Roman" w:hAnsi="Times New Roman"/>
          <w:sz w:val="14"/>
          <w:szCs w:val="14"/>
          <w:color w:val="auto"/>
        </w:rPr>
        <w:t xml:space="preserve"> with respect to any acts taken or omissions suffered by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14"/>
          <w:szCs w:val="14"/>
          <w:b w:val="1"/>
          <w:bCs w:val="1"/>
          <w:i w:val="1"/>
          <w:iCs w:val="1"/>
          <w:color w:val="auto"/>
        </w:rPr>
        <w:t>Article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 xml:space="preserve">10 </w:t>
      </w:r>
      <w:r>
        <w:rPr>
          <w:rFonts w:ascii="Times New Roman" w:cs="Times New Roman" w:eastAsia="Times New Roman" w:hAnsi="Times New Roman"/>
          <w:sz w:val="14"/>
          <w:szCs w:val="14"/>
          <w:color w:val="auto"/>
        </w:rPr>
        <w:t>included L/C Issuer with respect to such acts or omissions, and (B) as additionally provided herein with respect to L/C Issuer.</w:t>
      </w:r>
    </w:p>
    <w:p>
      <w:pPr>
        <w:ind w:left="460" w:hanging="312"/>
        <w:spacing w:after="0"/>
        <w:tabs>
          <w:tab w:leader="none" w:pos="460" w:val="left"/>
        </w:tabs>
        <w:numPr>
          <w:ilvl w:val="0"/>
          <w:numId w:val="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Procedures for Issuance and Amendment of Letters of Credit; Auto-Extension Letters of Credit</w:t>
      </w:r>
      <w:r>
        <w:rPr>
          <w:rFonts w:ascii="Times New Roman" w:cs="Times New Roman" w:eastAsia="Times New Roman" w:hAnsi="Times New Roman"/>
          <w:sz w:val="14"/>
          <w:szCs w:val="14"/>
          <w:color w:val="auto"/>
        </w:rPr>
        <w:t>.</w:t>
      </w:r>
    </w:p>
    <w:p>
      <w:pPr>
        <w:spacing w:after="0" w:line="39" w:lineRule="exact"/>
        <w:rPr>
          <w:rFonts w:ascii="Times New Roman" w:cs="Times New Roman" w:eastAsia="Times New Roman" w:hAnsi="Times New Roman"/>
          <w:sz w:val="14"/>
          <w:szCs w:val="14"/>
          <w:b w:val="1"/>
          <w:bCs w:val="1"/>
          <w:color w:val="auto"/>
        </w:rPr>
      </w:pPr>
    </w:p>
    <w:p>
      <w:pPr>
        <w:jc w:val="both"/>
        <w:ind w:left="140" w:firstLine="440"/>
        <w:spacing w:after="0" w:line="243" w:lineRule="auto"/>
        <w:tabs>
          <w:tab w:leader="none" w:pos="879"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Existing Letters of Credit shall be deemed to have been issued hereunder as of the Closing Date. Each Letter of Credit shall be issued or amended, as the case may be, upon the request of the Borrower Representative delivered to L/C Issuer (with a copy to Administrative Agent) in the form of a Letter of Credit Application, appropriately completed and signed by a Responsible Officer of the Borrower Representative. Such Letter of Credit Application may be sent by facsimile, by United States mail, by overnight courier, by electronic transmission using the system provided by L/C Issuer, by personal delivery or by any other means acceptable to L/C Issuer. Such Letter of Credit Application must be received by L/C Issuer and Administrative Agent not later than 11:00 a.m. at least two (2) Business Days (or such later date and time as Administrative Agent and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L/C Issuer may require. In the case of a request for an amendment of any outstanding Letter of Credit, such Letter of Credit Application shall specify in form and detail satisfactory to L/C Issuer (1) the Letter of Credit to be amended; (2) the proposed date of amendment thereof (which shall be a Business Day); (3) the nature of the proposed amendment; and (4) such other matters as L/C Issuer may require. Additionally, the Borrower</w:t>
      </w:r>
    </w:p>
    <w:p>
      <w:pPr>
        <w:spacing w:after="0" w:line="38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60"/>
          </w:cols>
          <w:pgMar w:left="1440" w:top="287" w:right="2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140"/>
        <w:spacing w:after="0" w:line="268" w:lineRule="auto"/>
        <w:rPr>
          <w:sz w:val="20"/>
          <w:szCs w:val="20"/>
          <w:color w:val="auto"/>
        </w:rPr>
      </w:pPr>
      <w:r>
        <w:rPr>
          <w:rFonts w:ascii="Times New Roman" w:cs="Times New Roman" w:eastAsia="Times New Roman" w:hAnsi="Times New Roman"/>
          <w:sz w:val="14"/>
          <w:szCs w:val="14"/>
          <w:color w:val="auto"/>
        </w:rPr>
        <w:t>Representative shall furnish to L/C Issuer and Administrative Agent such other documents and information pertaining to such requested Letter of Credit issuance or amendment, including any Issuer Documents, as L/C Issuer or Administrative Agent may require.</w:t>
      </w:r>
    </w:p>
    <w:p>
      <w:pPr>
        <w:jc w:val="both"/>
        <w:ind w:left="140" w:firstLine="440"/>
        <w:spacing w:after="0" w:line="245" w:lineRule="auto"/>
        <w:tabs>
          <w:tab w:leader="none" w:pos="915"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Promptly after receipt of any Letter of Credit Application, L/C Issuer will confirm with Administrative Agent (by telephone or in writing) that Administrative Agent has received a copy of such Letter of Credit Application from the Borrower Representative and, if not, L/C Issuer will provide Administrative Agent with a copy thereof. Unless L/C Issuer has received written notice from Administrative Agent or any Loan Party, at least one (1) Business Day prior to the requested date of issuance or amendment of the applicable Letter of Credit, that one or more applicable conditions contained in </w:t>
      </w:r>
      <w:r>
        <w:rPr>
          <w:rFonts w:ascii="Times New Roman" w:cs="Times New Roman" w:eastAsia="Times New Roman" w:hAnsi="Times New Roman"/>
          <w:sz w:val="14"/>
          <w:szCs w:val="14"/>
          <w:b w:val="1"/>
          <w:bCs w:val="1"/>
          <w:i w:val="1"/>
          <w:iCs w:val="1"/>
          <w:color w:val="auto"/>
        </w:rPr>
        <w:t>Article 4</w:t>
      </w:r>
      <w:r>
        <w:rPr>
          <w:rFonts w:ascii="Times New Roman" w:cs="Times New Roman" w:eastAsia="Times New Roman" w:hAnsi="Times New Roman"/>
          <w:sz w:val="14"/>
          <w:szCs w:val="14"/>
          <w:color w:val="auto"/>
        </w:rPr>
        <w:t xml:space="preserve"> shall not then be satisfied, then, subject to the terms and conditions hereof, L/C Issuer shall, on the requested date, issue a Letter of Credit for the account of the applicable Borrower or enter into the applicable amendment, as the case may be, in each case in accordance with L/C Issuer’s usual and customary business practices. Immediately upon the issuance of each Letter of Credit, each Lender shall be deemed to, and hereby irrevocably and unconditionally agrees to, purchase from L/C Issuer a risk participation in such Letter of Credit in an amount equal to the product of such Lender’s Applicable Percentage times the amount of such Letter of Credit.</w:t>
      </w:r>
    </w:p>
    <w:p>
      <w:pPr>
        <w:spacing w:after="0" w:line="8" w:lineRule="exact"/>
        <w:rPr>
          <w:rFonts w:ascii="Times New Roman" w:cs="Times New Roman" w:eastAsia="Times New Roman" w:hAnsi="Times New Roman"/>
          <w:sz w:val="14"/>
          <w:szCs w:val="14"/>
          <w:color w:val="auto"/>
        </w:rPr>
      </w:pPr>
    </w:p>
    <w:p>
      <w:pPr>
        <w:jc w:val="both"/>
        <w:ind w:left="140" w:firstLine="440"/>
        <w:spacing w:after="0" w:line="243" w:lineRule="auto"/>
        <w:tabs>
          <w:tab w:leader="none" w:pos="1004"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Borrower Representative so requests in any applicable Letter of Credit Application, L/C Issuer may, in its sole discretion, agree to issue an Auto-Extension Letter of Credit;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Auto-Extension Letter of Credit must permit L/C Issuer to prevent any such extension at least once in each 12-month period (commencing with the date of issuance of such Letter of Credit) by giving prior notice to the beneficiary thereof not later than a day (the “</w:t>
      </w:r>
      <w:r>
        <w:rPr>
          <w:rFonts w:ascii="Times New Roman" w:cs="Times New Roman" w:eastAsia="Times New Roman" w:hAnsi="Times New Roman"/>
          <w:sz w:val="14"/>
          <w:szCs w:val="14"/>
          <w:b w:val="1"/>
          <w:bCs w:val="1"/>
          <w:i w:val="1"/>
          <w:iCs w:val="1"/>
          <w:color w:val="auto"/>
        </w:rPr>
        <w:t>Non-Extension Notice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Date</w:t>
      </w:r>
      <w:r>
        <w:rPr>
          <w:rFonts w:ascii="Times New Roman" w:cs="Times New Roman" w:eastAsia="Times New Roman" w:hAnsi="Times New Roman"/>
          <w:sz w:val="14"/>
          <w:szCs w:val="14"/>
          <w:color w:val="auto"/>
        </w:rPr>
        <w:t>”) in each such 12-month period to be agreed upon at the time such Letter of Credit is issued. Unless otherwise directed by L/C Issuer, the Borrower Representative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shall not be required to make a specific request to L/C Issuer for any such extension. Once an Auto-Extension Letter of Credit has been issued, the Lenders shall be deemed to have authorized (but may not require) L/C Issuer to permit the extension of such Letter of Credit at any time to an expiry date not later than the Letter of Credit Expiration Date;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L/C Issuer shall not permit any such extension (and the terms of the Auto-Extension Letter of Credit may permit L/C Issuer to refuse to extend such Letter of Credit) if (A) L/C Issuer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14"/>
          <w:szCs w:val="14"/>
          <w:b w:val="1"/>
          <w:bCs w:val="1"/>
          <w:i w:val="1"/>
          <w:iCs w:val="1"/>
          <w:color w:val="auto"/>
        </w:rPr>
        <w:t>clause (ii)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(iii)</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i w:val="1"/>
          <w:iCs w:val="1"/>
          <w:color w:val="auto"/>
        </w:rPr>
        <w:t>Section 2.2(a)</w:t>
      </w:r>
      <w:r>
        <w:rPr>
          <w:rFonts w:ascii="Times New Roman" w:cs="Times New Roman" w:eastAsia="Times New Roman" w:hAnsi="Times New Roman"/>
          <w:sz w:val="14"/>
          <w:szCs w:val="14"/>
          <w:color w:val="auto"/>
        </w:rPr>
        <w:t xml:space="preserve"> or otherwise), or (B) it has received notice (which may be by telephone or in writing) on or before the day that is seven (7) Business Days before the Non-Extension Notice Date (1) from Administrative Agent that the Required Lenders have elected not to permit such extension or (2) from Administrative Agent, any Lender or Borrower that one or more of the applicable conditions specified in </w:t>
      </w:r>
      <w:r>
        <w:rPr>
          <w:rFonts w:ascii="Times New Roman" w:cs="Times New Roman" w:eastAsia="Times New Roman" w:hAnsi="Times New Roman"/>
          <w:sz w:val="14"/>
          <w:szCs w:val="14"/>
          <w:b w:val="1"/>
          <w:bCs w:val="1"/>
          <w:i w:val="1"/>
          <w:iCs w:val="1"/>
          <w:color w:val="auto"/>
        </w:rPr>
        <w:t>Section 4.2</w:t>
      </w:r>
      <w:r>
        <w:rPr>
          <w:rFonts w:ascii="Times New Roman" w:cs="Times New Roman" w:eastAsia="Times New Roman" w:hAnsi="Times New Roman"/>
          <w:sz w:val="14"/>
          <w:szCs w:val="14"/>
          <w:color w:val="auto"/>
        </w:rPr>
        <w:t xml:space="preserve"> is not then satisfied, and in each such case directing L/C Issuer not to permit such extension.</w:t>
      </w:r>
    </w:p>
    <w:p>
      <w:pPr>
        <w:spacing w:after="0" w:line="15" w:lineRule="exact"/>
        <w:rPr>
          <w:rFonts w:ascii="Times New Roman" w:cs="Times New Roman" w:eastAsia="Times New Roman" w:hAnsi="Times New Roman"/>
          <w:sz w:val="14"/>
          <w:szCs w:val="14"/>
          <w:color w:val="auto"/>
        </w:rPr>
      </w:pPr>
    </w:p>
    <w:p>
      <w:pPr>
        <w:ind w:left="140" w:right="20" w:firstLine="440"/>
        <w:spacing w:after="0" w:line="266" w:lineRule="auto"/>
        <w:tabs>
          <w:tab w:leader="none" w:pos="933"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its delivery of any Letter of Credit or any amendment to a Letter of Credit to an advising bank with respect thereto or to the beneficiary thereof, L/C Issuer will also deliver to the Borrower Representative and Administrative Agent a true and complete copy of such Letter of Credit or amendment.</w:t>
      </w:r>
    </w:p>
    <w:p>
      <w:pPr>
        <w:spacing w:after="0" w:line="1" w:lineRule="exact"/>
        <w:rPr>
          <w:rFonts w:ascii="Times New Roman" w:cs="Times New Roman" w:eastAsia="Times New Roman" w:hAnsi="Times New Roman"/>
          <w:sz w:val="14"/>
          <w:szCs w:val="14"/>
          <w:color w:val="auto"/>
        </w:rPr>
      </w:pPr>
    </w:p>
    <w:p>
      <w:pPr>
        <w:ind w:left="460" w:hanging="312"/>
        <w:spacing w:after="0"/>
        <w:tabs>
          <w:tab w:leader="none" w:pos="460"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Drawings and Reimbursements; Funding of Participations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60"/>
          </w:cols>
          <w:pgMar w:left="1440" w:top="287" w:right="2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140" w:firstLine="440"/>
        <w:spacing w:after="0" w:line="245" w:lineRule="auto"/>
        <w:tabs>
          <w:tab w:leader="none" w:pos="944"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receipt from the beneficiary of any Letter of Credit of any notice of a drawing under such Letter of Credit, L/C Issuer shall notify the Borrower Representative and Administrative Agent thereof. Not later than 11:00 a.m. on the date of any payment by L/C Issuer under a Letter of Credit (each such date, an “</w:t>
      </w:r>
      <w:r>
        <w:rPr>
          <w:rFonts w:ascii="Times New Roman" w:cs="Times New Roman" w:eastAsia="Times New Roman" w:hAnsi="Times New Roman"/>
          <w:sz w:val="14"/>
          <w:szCs w:val="14"/>
          <w:b w:val="1"/>
          <w:bCs w:val="1"/>
          <w:i w:val="1"/>
          <w:iCs w:val="1"/>
          <w:color w:val="auto"/>
        </w:rPr>
        <w:t>Honor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Date</w:t>
      </w:r>
      <w:r>
        <w:rPr>
          <w:rFonts w:ascii="Times New Roman" w:cs="Times New Roman" w:eastAsia="Times New Roman" w:hAnsi="Times New Roman"/>
          <w:sz w:val="14"/>
          <w:szCs w:val="14"/>
          <w:color w:val="auto"/>
        </w:rPr>
        <w:t>”), Borrowers shall reimburse L/C Issuer through Administrative Agent in an amount equal to the amount of such drawing. If Borrowers fail to so reimburse L/C Issuer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by such time, Administrative Agent shall promptly notify each Lender of the Honor Date, the amount of the unreimbursed drawing (the “</w:t>
      </w:r>
      <w:r>
        <w:rPr>
          <w:rFonts w:ascii="Times New Roman" w:cs="Times New Roman" w:eastAsia="Times New Roman" w:hAnsi="Times New Roman"/>
          <w:sz w:val="14"/>
          <w:szCs w:val="14"/>
          <w:b w:val="1"/>
          <w:bCs w:val="1"/>
          <w:i w:val="1"/>
          <w:iCs w:val="1"/>
          <w:color w:val="auto"/>
        </w:rPr>
        <w:t>Unreimbursed Amount</w:t>
      </w:r>
      <w:r>
        <w:rPr>
          <w:rFonts w:ascii="Times New Roman" w:cs="Times New Roman" w:eastAsia="Times New Roman" w:hAnsi="Times New Roman"/>
          <w:sz w:val="14"/>
          <w:szCs w:val="14"/>
          <w:color w:val="auto"/>
        </w:rPr>
        <w:t xml:space="preserve">”), and the amount of such Lender’s Applicable Percentage thereof. In such event, Borrowers shall be deemed to have requested a Revolving Credit Borrowing to be disbursed on the Honor Date in an amount equal to the Unreimbursed Amount, subject to the amount of Availability and the conditions set forth in </w:t>
      </w:r>
      <w:r>
        <w:rPr>
          <w:rFonts w:ascii="Times New Roman" w:cs="Times New Roman" w:eastAsia="Times New Roman" w:hAnsi="Times New Roman"/>
          <w:sz w:val="14"/>
          <w:szCs w:val="14"/>
          <w:b w:val="1"/>
          <w:bCs w:val="1"/>
          <w:i w:val="1"/>
          <w:iCs w:val="1"/>
          <w:color w:val="auto"/>
        </w:rPr>
        <w:t>Section 4.2</w:t>
      </w:r>
      <w:r>
        <w:rPr>
          <w:rFonts w:ascii="Times New Roman" w:cs="Times New Roman" w:eastAsia="Times New Roman" w:hAnsi="Times New Roman"/>
          <w:sz w:val="14"/>
          <w:szCs w:val="14"/>
          <w:color w:val="auto"/>
        </w:rPr>
        <w:t xml:space="preserve"> (other than the delivery of a Borrowing Request). Any notice given by L/C Issuer or Administrative Agent pursuant to this </w:t>
      </w:r>
      <w:r>
        <w:rPr>
          <w:rFonts w:ascii="Times New Roman" w:cs="Times New Roman" w:eastAsia="Times New Roman" w:hAnsi="Times New Roman"/>
          <w:sz w:val="14"/>
          <w:szCs w:val="14"/>
          <w:b w:val="1"/>
          <w:bCs w:val="1"/>
          <w:i w:val="1"/>
          <w:iCs w:val="1"/>
          <w:color w:val="auto"/>
        </w:rPr>
        <w:t>Section 2.2(c)(i)</w:t>
      </w:r>
      <w:r>
        <w:rPr>
          <w:rFonts w:ascii="Times New Roman" w:cs="Times New Roman" w:eastAsia="Times New Roman" w:hAnsi="Times New Roman"/>
          <w:sz w:val="14"/>
          <w:szCs w:val="14"/>
          <w:color w:val="auto"/>
        </w:rPr>
        <w:t xml:space="preserve"> may be given by telephone if immediately confirmed in writing;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lack of such an immediate confirmation shall not affect the conclusiveness or binding effect of such notice.</w:t>
      </w:r>
    </w:p>
    <w:p>
      <w:pPr>
        <w:spacing w:after="0" w:line="4" w:lineRule="exact"/>
        <w:rPr>
          <w:rFonts w:ascii="Times New Roman" w:cs="Times New Roman" w:eastAsia="Times New Roman" w:hAnsi="Times New Roman"/>
          <w:sz w:val="14"/>
          <w:szCs w:val="14"/>
          <w:color w:val="auto"/>
        </w:rPr>
      </w:pPr>
    </w:p>
    <w:p>
      <w:pPr>
        <w:jc w:val="both"/>
        <w:ind w:left="140" w:firstLine="440"/>
        <w:spacing w:after="0" w:line="252" w:lineRule="auto"/>
        <w:tabs>
          <w:tab w:leader="none" w:pos="919"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Lender shall upon any notice pursuant to </w:t>
      </w:r>
      <w:r>
        <w:rPr>
          <w:rFonts w:ascii="Times New Roman" w:cs="Times New Roman" w:eastAsia="Times New Roman" w:hAnsi="Times New Roman"/>
          <w:sz w:val="14"/>
          <w:szCs w:val="14"/>
          <w:b w:val="1"/>
          <w:bCs w:val="1"/>
          <w:i w:val="1"/>
          <w:iCs w:val="1"/>
          <w:color w:val="auto"/>
        </w:rPr>
        <w:t>Section 2.2(c)(i)</w:t>
      </w:r>
      <w:r>
        <w:rPr>
          <w:rFonts w:ascii="Times New Roman" w:cs="Times New Roman" w:eastAsia="Times New Roman" w:hAnsi="Times New Roman"/>
          <w:sz w:val="14"/>
          <w:szCs w:val="14"/>
          <w:color w:val="auto"/>
        </w:rPr>
        <w:t xml:space="preserve"> make funds available (and Administrative Agent may apply Cash Collateral provided for this purpose) for the account of L/C Issuer at Administrative Agent’s Principal Office in an amount equal to its Applicable Percentage of the Unreimbursed Amount not later than 1:00 p.m. on the Business Day specified in such notice by Administrative Agent, whereupon, subject to the provisions of </w:t>
      </w:r>
      <w:r>
        <w:rPr>
          <w:rFonts w:ascii="Times New Roman" w:cs="Times New Roman" w:eastAsia="Times New Roman" w:hAnsi="Times New Roman"/>
          <w:sz w:val="14"/>
          <w:szCs w:val="14"/>
          <w:b w:val="1"/>
          <w:bCs w:val="1"/>
          <w:i w:val="1"/>
          <w:iCs w:val="1"/>
          <w:color w:val="auto"/>
        </w:rPr>
        <w:t>Section 2.2(c)(iii)</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each Lender that so makes funds available shall be deemed to have made a Revolving Credit Loan (or, if the conditions set forth in </w:t>
      </w:r>
      <w:r>
        <w:rPr>
          <w:rFonts w:ascii="Times New Roman" w:cs="Times New Roman" w:eastAsia="Times New Roman" w:hAnsi="Times New Roman"/>
          <w:sz w:val="14"/>
          <w:szCs w:val="14"/>
          <w:b w:val="1"/>
          <w:bCs w:val="1"/>
          <w:i w:val="1"/>
          <w:iCs w:val="1"/>
          <w:color w:val="auto"/>
        </w:rPr>
        <w:t>Section 4.2</w:t>
      </w:r>
      <w:r>
        <w:rPr>
          <w:rFonts w:ascii="Times New Roman" w:cs="Times New Roman" w:eastAsia="Times New Roman" w:hAnsi="Times New Roman"/>
          <w:sz w:val="14"/>
          <w:szCs w:val="14"/>
          <w:color w:val="auto"/>
        </w:rPr>
        <w:t xml:space="preserve"> are not satisfied, an L/C Borrowing as further described in </w:t>
      </w:r>
      <w:r>
        <w:rPr>
          <w:rFonts w:ascii="Times New Roman" w:cs="Times New Roman" w:eastAsia="Times New Roman" w:hAnsi="Times New Roman"/>
          <w:sz w:val="14"/>
          <w:szCs w:val="14"/>
          <w:b w:val="1"/>
          <w:bCs w:val="1"/>
          <w:i w:val="1"/>
          <w:iCs w:val="1"/>
          <w:color w:val="auto"/>
        </w:rPr>
        <w:t xml:space="preserve">clause (iii) </w:t>
      </w:r>
      <w:r>
        <w:rPr>
          <w:rFonts w:ascii="Times New Roman" w:cs="Times New Roman" w:eastAsia="Times New Roman" w:hAnsi="Times New Roman"/>
          <w:sz w:val="14"/>
          <w:szCs w:val="14"/>
          <w:color w:val="auto"/>
        </w:rPr>
        <w:t>below) to Borrowers in such amount. Administrative Agent shall remit the funds so received to L/C Issuer.</w:t>
      </w:r>
    </w:p>
    <w:p>
      <w:pPr>
        <w:jc w:val="both"/>
        <w:ind w:left="140" w:firstLine="440"/>
        <w:spacing w:after="0" w:line="249" w:lineRule="auto"/>
        <w:tabs>
          <w:tab w:leader="none" w:pos="942"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respect to any Unreimbursed Amount that is not fully refinanced by a Revolving Credit Borrowing because the conditions set forth in </w:t>
      </w:r>
      <w:r>
        <w:rPr>
          <w:rFonts w:ascii="Times New Roman" w:cs="Times New Roman" w:eastAsia="Times New Roman" w:hAnsi="Times New Roman"/>
          <w:sz w:val="14"/>
          <w:szCs w:val="14"/>
          <w:b w:val="1"/>
          <w:bCs w:val="1"/>
          <w:i w:val="1"/>
          <w:iCs w:val="1"/>
          <w:color w:val="auto"/>
        </w:rPr>
        <w:t>Section 4.2</w:t>
      </w:r>
      <w:r>
        <w:rPr>
          <w:rFonts w:ascii="Times New Roman" w:cs="Times New Roman" w:eastAsia="Times New Roman" w:hAnsi="Times New Roman"/>
          <w:sz w:val="14"/>
          <w:szCs w:val="14"/>
          <w:color w:val="auto"/>
        </w:rPr>
        <w:t xml:space="preserve"> cannot be satisfied or for any other reason, Borrowers shall be deemed to have incurred from L/C Issuer an L/C Borrowing in the amount of the Unreimbursed Amount that is not so refinanced, which L/C Borrowing shall be due and payable on demand (together with interest) and shall bear interest at the Default Interest Rate. In such event, each Lender’s payment to Administrative Agent for the account of L/C Issuer pursuant to </w:t>
      </w:r>
      <w:r>
        <w:rPr>
          <w:rFonts w:ascii="Times New Roman" w:cs="Times New Roman" w:eastAsia="Times New Roman" w:hAnsi="Times New Roman"/>
          <w:sz w:val="14"/>
          <w:szCs w:val="14"/>
          <w:b w:val="1"/>
          <w:bCs w:val="1"/>
          <w:i w:val="1"/>
          <w:iCs w:val="1"/>
          <w:color w:val="auto"/>
        </w:rPr>
        <w:t>Section 2.2(c)(ii)</w:t>
      </w:r>
      <w:r>
        <w:rPr>
          <w:rFonts w:ascii="Times New Roman" w:cs="Times New Roman" w:eastAsia="Times New Roman" w:hAnsi="Times New Roman"/>
          <w:sz w:val="14"/>
          <w:szCs w:val="14"/>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14"/>
          <w:szCs w:val="14"/>
          <w:b w:val="1"/>
          <w:bCs w:val="1"/>
          <w:i w:val="1"/>
          <w:iCs w:val="1"/>
          <w:color w:val="auto"/>
        </w:rPr>
        <w:t>Section 2.2</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ind w:left="140" w:firstLine="440"/>
        <w:spacing w:after="0" w:line="271" w:lineRule="auto"/>
        <w:tabs>
          <w:tab w:leader="none" w:pos="956"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Until each Lender funds its Revolving Credit Loan or L/C Advance pursuant to this </w:t>
      </w:r>
      <w:r>
        <w:rPr>
          <w:rFonts w:ascii="Times New Roman" w:cs="Times New Roman" w:eastAsia="Times New Roman" w:hAnsi="Times New Roman"/>
          <w:sz w:val="14"/>
          <w:szCs w:val="14"/>
          <w:b w:val="1"/>
          <w:bCs w:val="1"/>
          <w:i w:val="1"/>
          <w:iCs w:val="1"/>
          <w:color w:val="auto"/>
        </w:rPr>
        <w:t>Section 2.2(c)</w:t>
      </w:r>
      <w:r>
        <w:rPr>
          <w:rFonts w:ascii="Times New Roman" w:cs="Times New Roman" w:eastAsia="Times New Roman" w:hAnsi="Times New Roman"/>
          <w:sz w:val="14"/>
          <w:szCs w:val="14"/>
          <w:color w:val="auto"/>
        </w:rPr>
        <w:t xml:space="preserve"> to reimburse L/C Issuer for any amount drawn under any Letter of Credit, interest in respect of such Lender’s Applicable Percentage of such amount shall be solely for the account of L/C Issuer.</w:t>
      </w:r>
    </w:p>
    <w:p>
      <w:pPr>
        <w:jc w:val="both"/>
        <w:ind w:left="140" w:firstLine="440"/>
        <w:spacing w:after="0" w:line="255" w:lineRule="auto"/>
        <w:tabs>
          <w:tab w:leader="none" w:pos="1007"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Lender’s obligation to make Revolving Credit Loans or L/C Advances to reimburse L/C Issuer for amounts drawn under Letters of Credit, as contemplated by this </w:t>
      </w:r>
      <w:r>
        <w:rPr>
          <w:rFonts w:ascii="Times New Roman" w:cs="Times New Roman" w:eastAsia="Times New Roman" w:hAnsi="Times New Roman"/>
          <w:sz w:val="14"/>
          <w:szCs w:val="14"/>
          <w:b w:val="1"/>
          <w:bCs w:val="1"/>
          <w:i w:val="1"/>
          <w:iCs w:val="1"/>
          <w:color w:val="auto"/>
        </w:rPr>
        <w:t>Section 2.2(c)</w:t>
      </w:r>
      <w:r>
        <w:rPr>
          <w:rFonts w:ascii="Times New Roman" w:cs="Times New Roman" w:eastAsia="Times New Roman" w:hAnsi="Times New Roman"/>
          <w:sz w:val="14"/>
          <w:szCs w:val="14"/>
          <w:color w:val="auto"/>
        </w:rPr>
        <w:t xml:space="preserve">, shall be absolute and unconditional and shall not be affected by any circumstance, including (A) any setoff, counterclaim, recoupment, defense or other right which such Lender may have against L/C Issuer, Borrowers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each Lender’s</w:t>
      </w:r>
    </w:p>
    <w:p>
      <w:pPr>
        <w:spacing w:after="0" w:line="37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60"/>
          </w:cols>
          <w:pgMar w:left="1440" w:top="287" w:right="29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4"/>
          <w:szCs w:val="14"/>
          <w:color w:val="auto"/>
        </w:rPr>
        <w:t xml:space="preserve">obligation to make Revolving Credit Loans (but not its obligation to fund it pro rata share of L/C Advances) pursuant to this </w:t>
      </w:r>
      <w:r>
        <w:rPr>
          <w:rFonts w:ascii="Times New Roman" w:cs="Times New Roman" w:eastAsia="Times New Roman" w:hAnsi="Times New Roman"/>
          <w:sz w:val="14"/>
          <w:szCs w:val="14"/>
          <w:b w:val="1"/>
          <w:bCs w:val="1"/>
          <w:i w:val="1"/>
          <w:iCs w:val="1"/>
          <w:color w:val="auto"/>
        </w:rPr>
        <w:t>Section 2.2(c)</w:t>
      </w:r>
      <w:r>
        <w:rPr>
          <w:rFonts w:ascii="Times New Roman" w:cs="Times New Roman" w:eastAsia="Times New Roman" w:hAnsi="Times New Roman"/>
          <w:sz w:val="14"/>
          <w:szCs w:val="14"/>
          <w:color w:val="auto"/>
        </w:rPr>
        <w:t xml:space="preserve"> is subject to the conditions set forth in </w:t>
      </w:r>
      <w:r>
        <w:rPr>
          <w:rFonts w:ascii="Times New Roman" w:cs="Times New Roman" w:eastAsia="Times New Roman" w:hAnsi="Times New Roman"/>
          <w:sz w:val="14"/>
          <w:szCs w:val="14"/>
          <w:b w:val="1"/>
          <w:bCs w:val="1"/>
          <w:i w:val="1"/>
          <w:iCs w:val="1"/>
          <w:color w:val="auto"/>
        </w:rPr>
        <w:t>Section 4.2</w:t>
      </w:r>
      <w:r>
        <w:rPr>
          <w:rFonts w:ascii="Times New Roman" w:cs="Times New Roman" w:eastAsia="Times New Roman" w:hAnsi="Times New Roman"/>
          <w:sz w:val="14"/>
          <w:szCs w:val="14"/>
          <w:color w:val="auto"/>
        </w:rPr>
        <w:t xml:space="preserve"> (other than delivery by the Borrower Representative of a Borrowing Request). No such making of an L/C Advance shall relieve or otherwise impair the obligation of Borrowers to reimburse L/C Issuer for the amount of any payment made by L/C Issuer under any Letter of Credit, together with interest as provided herein.</w:t>
      </w:r>
    </w:p>
    <w:p>
      <w:pPr>
        <w:spacing w:after="0" w:line="1" w:lineRule="exact"/>
        <w:rPr>
          <w:sz w:val="20"/>
          <w:szCs w:val="20"/>
          <w:color w:val="auto"/>
        </w:rPr>
      </w:pPr>
    </w:p>
    <w:p>
      <w:pPr>
        <w:jc w:val="both"/>
        <w:ind w:left="420" w:firstLine="440"/>
        <w:spacing w:after="0" w:line="245" w:lineRule="auto"/>
        <w:tabs>
          <w:tab w:leader="none" w:pos="1246"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Lender fails to make available to Administrative Agent for the account of L/C Issuer any amount required to be paid by such Lender pursuant to the foregoing provisions of this </w:t>
      </w:r>
      <w:r>
        <w:rPr>
          <w:rFonts w:ascii="Times New Roman" w:cs="Times New Roman" w:eastAsia="Times New Roman" w:hAnsi="Times New Roman"/>
          <w:sz w:val="14"/>
          <w:szCs w:val="14"/>
          <w:b w:val="1"/>
          <w:bCs w:val="1"/>
          <w:i w:val="1"/>
          <w:iCs w:val="1"/>
          <w:color w:val="auto"/>
        </w:rPr>
        <w:t>Section 2.2(c)</w:t>
      </w:r>
      <w:r>
        <w:rPr>
          <w:rFonts w:ascii="Times New Roman" w:cs="Times New Roman" w:eastAsia="Times New Roman" w:hAnsi="Times New Roman"/>
          <w:sz w:val="14"/>
          <w:szCs w:val="14"/>
          <w:color w:val="auto"/>
        </w:rPr>
        <w:t xml:space="preserve"> by the time specified in </w:t>
      </w:r>
      <w:r>
        <w:rPr>
          <w:rFonts w:ascii="Times New Roman" w:cs="Times New Roman" w:eastAsia="Times New Roman" w:hAnsi="Times New Roman"/>
          <w:sz w:val="14"/>
          <w:szCs w:val="14"/>
          <w:b w:val="1"/>
          <w:bCs w:val="1"/>
          <w:i w:val="1"/>
          <w:iCs w:val="1"/>
          <w:color w:val="auto"/>
        </w:rPr>
        <w:t>Section 2.2(c)(ii),</w:t>
      </w:r>
      <w:r>
        <w:rPr>
          <w:rFonts w:ascii="Times New Roman" w:cs="Times New Roman" w:eastAsia="Times New Roman" w:hAnsi="Times New Roman"/>
          <w:sz w:val="14"/>
          <w:szCs w:val="14"/>
          <w:color w:val="auto"/>
        </w:rPr>
        <w:t xml:space="preserve"> then, without limiting the other provisions of this Agreement, L/C Issuer shall be entitled to recover from such Lender (acting through Administrative Agent), on demand, such amount with interest thereon for the period from the date such payment is required to the date on which such payment is immediately available to L/C Issuer at a rate per annum equal to the greater of the Federal Funds Rate and a rate determined by L/C Issuer in accordance with banking industry rules on interbank compensation, plus any administrative, processing or similar fees customarily charged by L/C Issuer in connection with the foregoing. If such Lender pays such amount (with interest and fees as aforesaid), the amount so paid shall constitute such Lender’s Revolving Credit Loan included in the relevant Revolving Credit Borrowing or L/C Advance in respect of the relevant L/C Borrowing, as the case may be. A certificate of L/C Issuer submitted to any Lender (through Administrative Agent) with respect to any amounts owing under this </w:t>
      </w:r>
      <w:r>
        <w:rPr>
          <w:rFonts w:ascii="Times New Roman" w:cs="Times New Roman" w:eastAsia="Times New Roman" w:hAnsi="Times New Roman"/>
          <w:sz w:val="14"/>
          <w:szCs w:val="14"/>
          <w:b w:val="1"/>
          <w:bCs w:val="1"/>
          <w:i w:val="1"/>
          <w:iCs w:val="1"/>
          <w:color w:val="auto"/>
        </w:rPr>
        <w:t>clause (vi)</w:t>
      </w:r>
      <w:r>
        <w:rPr>
          <w:rFonts w:ascii="Times New Roman" w:cs="Times New Roman" w:eastAsia="Times New Roman" w:hAnsi="Times New Roman"/>
          <w:sz w:val="14"/>
          <w:szCs w:val="14"/>
          <w:color w:val="auto"/>
        </w:rPr>
        <w:t xml:space="preserve"> shall be conclusive absent manifest error.</w:t>
      </w:r>
    </w:p>
    <w:p>
      <w:pPr>
        <w:spacing w:after="0" w:line="6" w:lineRule="exact"/>
        <w:rPr>
          <w:rFonts w:ascii="Times New Roman" w:cs="Times New Roman" w:eastAsia="Times New Roman" w:hAnsi="Times New Roman"/>
          <w:sz w:val="14"/>
          <w:szCs w:val="14"/>
          <w:color w:val="auto"/>
        </w:rPr>
      </w:pPr>
    </w:p>
    <w:p>
      <w:pPr>
        <w:ind w:left="740" w:hanging="312"/>
        <w:spacing w:after="0"/>
        <w:tabs>
          <w:tab w:leader="none" w:pos="740" w:val="left"/>
        </w:tabs>
        <w:numPr>
          <w:ilvl w:val="0"/>
          <w:numId w:val="10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Repayment of Participations</w:t>
      </w:r>
      <w:r>
        <w:rPr>
          <w:rFonts w:ascii="Times New Roman" w:cs="Times New Roman" w:eastAsia="Times New Roman" w:hAnsi="Times New Roman"/>
          <w:sz w:val="14"/>
          <w:szCs w:val="14"/>
          <w:color w:val="auto"/>
        </w:rPr>
        <w:t>.</w:t>
      </w:r>
    </w:p>
    <w:p>
      <w:pPr>
        <w:spacing w:after="0" w:line="39" w:lineRule="exact"/>
        <w:rPr>
          <w:rFonts w:ascii="Times New Roman" w:cs="Times New Roman" w:eastAsia="Times New Roman" w:hAnsi="Times New Roman"/>
          <w:sz w:val="14"/>
          <w:szCs w:val="14"/>
          <w:b w:val="1"/>
          <w:bCs w:val="1"/>
          <w:color w:val="auto"/>
        </w:rPr>
      </w:pPr>
    </w:p>
    <w:p>
      <w:pPr>
        <w:jc w:val="both"/>
        <w:ind w:left="420" w:firstLine="440"/>
        <w:spacing w:after="0" w:line="253" w:lineRule="auto"/>
        <w:tabs>
          <w:tab w:leader="none" w:pos="1153"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any time after L/C Issuer has made a payment under any Letter of Credit and has received from any Lender such Lender’s L/C Advance in respect of such payment in accordance with </w:t>
      </w:r>
      <w:r>
        <w:rPr>
          <w:rFonts w:ascii="Times New Roman" w:cs="Times New Roman" w:eastAsia="Times New Roman" w:hAnsi="Times New Roman"/>
          <w:sz w:val="14"/>
          <w:szCs w:val="14"/>
          <w:b w:val="1"/>
          <w:bCs w:val="1"/>
          <w:i w:val="1"/>
          <w:iCs w:val="1"/>
          <w:color w:val="auto"/>
        </w:rPr>
        <w:t>Section 2.2(c)</w:t>
      </w:r>
      <w:r>
        <w:rPr>
          <w:rFonts w:ascii="Times New Roman" w:cs="Times New Roman" w:eastAsia="Times New Roman" w:hAnsi="Times New Roman"/>
          <w:sz w:val="14"/>
          <w:szCs w:val="14"/>
          <w:color w:val="auto"/>
        </w:rPr>
        <w:t>, if Administrative Agent receives for the account of L/C Issuer any payment in respect of the related Unreimbursed Amount or interest thereon (whether directly from Borrowers or otherwise, including proceeds of Cash Collateral applied thereto by Administrative Agent), Administrative Agent will distribute to such Lender its Applicable Percentage thereof in the same funds as those received by Administrative Agent.</w:t>
      </w:r>
    </w:p>
    <w:p>
      <w:pPr>
        <w:spacing w:after="0" w:line="1" w:lineRule="exact"/>
        <w:rPr>
          <w:rFonts w:ascii="Times New Roman" w:cs="Times New Roman" w:eastAsia="Times New Roman" w:hAnsi="Times New Roman"/>
          <w:sz w:val="14"/>
          <w:szCs w:val="14"/>
          <w:color w:val="auto"/>
        </w:rPr>
      </w:pPr>
    </w:p>
    <w:p>
      <w:pPr>
        <w:jc w:val="both"/>
        <w:ind w:left="420" w:firstLine="440"/>
        <w:spacing w:after="0" w:line="249" w:lineRule="auto"/>
        <w:tabs>
          <w:tab w:leader="none" w:pos="1250"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payment received by Administrative Agent for the account of L/C Issuer pursuant to </w:t>
      </w:r>
      <w:r>
        <w:rPr>
          <w:rFonts w:ascii="Times New Roman" w:cs="Times New Roman" w:eastAsia="Times New Roman" w:hAnsi="Times New Roman"/>
          <w:sz w:val="14"/>
          <w:szCs w:val="14"/>
          <w:b w:val="1"/>
          <w:bCs w:val="1"/>
          <w:i w:val="1"/>
          <w:iCs w:val="1"/>
          <w:color w:val="auto"/>
        </w:rPr>
        <w:t>Section 2.2(c)(i)</w:t>
      </w:r>
      <w:r>
        <w:rPr>
          <w:rFonts w:ascii="Times New Roman" w:cs="Times New Roman" w:eastAsia="Times New Roman" w:hAnsi="Times New Roman"/>
          <w:sz w:val="14"/>
          <w:szCs w:val="14"/>
          <w:color w:val="auto"/>
        </w:rPr>
        <w:t xml:space="preserve"> is required to be returned under any of the circumstances described in </w:t>
      </w:r>
      <w:r>
        <w:rPr>
          <w:rFonts w:ascii="Times New Roman" w:cs="Times New Roman" w:eastAsia="Times New Roman" w:hAnsi="Times New Roman"/>
          <w:sz w:val="14"/>
          <w:szCs w:val="14"/>
          <w:b w:val="1"/>
          <w:bCs w:val="1"/>
          <w:i w:val="1"/>
          <w:iCs w:val="1"/>
          <w:color w:val="auto"/>
        </w:rPr>
        <w:t>Section 11.23</w:t>
      </w:r>
      <w:r>
        <w:rPr>
          <w:rFonts w:ascii="Times New Roman" w:cs="Times New Roman" w:eastAsia="Times New Roman" w:hAnsi="Times New Roman"/>
          <w:sz w:val="14"/>
          <w:szCs w:val="14"/>
          <w:color w:val="auto"/>
        </w:rPr>
        <w:t xml:space="preserve"> (including pursuant to any settlement entered into by L/C Issuer in its discretion), each Lender shall pay to Administrative Agent for the account of L/C Issuer its Applicable Percentage thereof on demand of Administrative Agent, plus interest thereon from the date of such demand to the date such amount is returned by such Lender, at a rate per annum equal to the Federal Funds Rate from time to time in effect. The obligations of Lenders under this </w:t>
      </w:r>
      <w:r>
        <w:rPr>
          <w:rFonts w:ascii="Times New Roman" w:cs="Times New Roman" w:eastAsia="Times New Roman" w:hAnsi="Times New Roman"/>
          <w:sz w:val="14"/>
          <w:szCs w:val="14"/>
          <w:b w:val="1"/>
          <w:bCs w:val="1"/>
          <w:i w:val="1"/>
          <w:iCs w:val="1"/>
          <w:color w:val="auto"/>
        </w:rPr>
        <w:t>clause (ii)</w:t>
      </w:r>
      <w:r>
        <w:rPr>
          <w:rFonts w:ascii="Times New Roman" w:cs="Times New Roman" w:eastAsia="Times New Roman" w:hAnsi="Times New Roman"/>
          <w:sz w:val="14"/>
          <w:szCs w:val="14"/>
          <w:color w:val="auto"/>
        </w:rPr>
        <w:t xml:space="preserve"> shall survive the payment in full of the Obligations and the termination of this Agreement.</w:t>
      </w:r>
    </w:p>
    <w:p>
      <w:pPr>
        <w:spacing w:after="0" w:line="3" w:lineRule="exact"/>
        <w:rPr>
          <w:rFonts w:ascii="Times New Roman" w:cs="Times New Roman" w:eastAsia="Times New Roman" w:hAnsi="Times New Roman"/>
          <w:sz w:val="14"/>
          <w:szCs w:val="14"/>
          <w:color w:val="auto"/>
        </w:rPr>
      </w:pPr>
    </w:p>
    <w:p>
      <w:pPr>
        <w:ind w:right="20" w:firstLine="428"/>
        <w:spacing w:after="0" w:line="269" w:lineRule="auto"/>
        <w:tabs>
          <w:tab w:leader="none" w:pos="765" w:val="left"/>
        </w:tabs>
        <w:numPr>
          <w:ilvl w:val="0"/>
          <w:numId w:val="10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Obligations Absolute</w:t>
      </w:r>
      <w:r>
        <w:rPr>
          <w:rFonts w:ascii="Times New Roman" w:cs="Times New Roman" w:eastAsia="Times New Roman" w:hAnsi="Times New Roman"/>
          <w:sz w:val="14"/>
          <w:szCs w:val="14"/>
          <w:color w:val="auto"/>
        </w:rPr>
        <w:t>. The obligation of Borrowers to reimburse L/C Issuer for each drawing under each Letter of Credit and to repay each L/C Borrowing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absolute, unconditional and irrevocable, and shall be paid strictly in accordance with the terms of this Agreement under all circumstances, including the following:</w:t>
      </w:r>
    </w:p>
    <w:p>
      <w:pPr>
        <w:spacing w:after="0" w:line="1" w:lineRule="exact"/>
        <w:rPr>
          <w:rFonts w:ascii="Times New Roman" w:cs="Times New Roman" w:eastAsia="Times New Roman" w:hAnsi="Times New Roman"/>
          <w:sz w:val="14"/>
          <w:szCs w:val="14"/>
          <w:b w:val="1"/>
          <w:bCs w:val="1"/>
          <w:color w:val="auto"/>
        </w:rPr>
      </w:pPr>
    </w:p>
    <w:p>
      <w:pPr>
        <w:ind w:left="1140" w:hanging="280"/>
        <w:spacing w:after="0"/>
        <w:tabs>
          <w:tab w:leader="none" w:pos="1140"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lack of validity or enforceability of such Letter of Credit, this Agreement, or any other Loan Document;</w:t>
      </w:r>
    </w:p>
    <w:p>
      <w:pPr>
        <w:spacing w:after="0" w:line="200" w:lineRule="exact"/>
        <w:rPr>
          <w:sz w:val="20"/>
          <w:szCs w:val="20"/>
          <w:color w:val="auto"/>
        </w:rPr>
      </w:pPr>
    </w:p>
    <w:p>
      <w:pPr>
        <w:spacing w:after="0" w:line="21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440"/>
          </w:cols>
          <w:pgMar w:left="1160" w:top="287" w:right="29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420" w:firstLine="440"/>
        <w:spacing w:after="0" w:line="256" w:lineRule="auto"/>
        <w:tabs>
          <w:tab w:leader="none" w:pos="1178"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of any claim, counterclaim, setoff, defense or other right that any Borrower or any Subsidiary may have at any time against any beneficiary or any transferee of such Letter of Credit (or any Person for whom any such beneficiary or any such transferee may be acting), L/C Issuer or any other Person, whether in connection with this Agreement, the transactions contemplated hereby or by such Letter of Credit or any agreement or instrument relating thereto, or any unrelated transaction;</w:t>
      </w:r>
    </w:p>
    <w:p>
      <w:pPr>
        <w:spacing w:after="0" w:line="168" w:lineRule="exact"/>
        <w:rPr>
          <w:rFonts w:ascii="Times New Roman" w:cs="Times New Roman" w:eastAsia="Times New Roman" w:hAnsi="Times New Roman"/>
          <w:sz w:val="14"/>
          <w:szCs w:val="14"/>
          <w:color w:val="auto"/>
        </w:rPr>
      </w:pPr>
    </w:p>
    <w:p>
      <w:pPr>
        <w:jc w:val="both"/>
        <w:ind w:left="420" w:firstLine="440"/>
        <w:spacing w:after="0" w:line="254" w:lineRule="auto"/>
        <w:tabs>
          <w:tab w:leader="none" w:pos="1221"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 w:lineRule="exact"/>
        <w:rPr>
          <w:rFonts w:ascii="Times New Roman" w:cs="Times New Roman" w:eastAsia="Times New Roman" w:hAnsi="Times New Roman"/>
          <w:sz w:val="14"/>
          <w:szCs w:val="14"/>
          <w:color w:val="auto"/>
        </w:rPr>
      </w:pPr>
    </w:p>
    <w:p>
      <w:pPr>
        <w:ind w:left="420" w:firstLine="440"/>
        <w:spacing w:after="0" w:line="268" w:lineRule="auto"/>
        <w:tabs>
          <w:tab w:leader="none" w:pos="1204"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waiver by L/C Issuer of any requirement that exists for L/C Issuer’s protection and not the protection of a Borrower or any waiver by L/C Issuer which does not in fact materially prejudice such Borrower;</w:t>
      </w:r>
    </w:p>
    <w:p>
      <w:pPr>
        <w:ind w:left="1180" w:hanging="320"/>
        <w:spacing w:after="0"/>
        <w:tabs>
          <w:tab w:leader="none" w:pos="11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honor of a demand for payment presented electronically even if such Letter of Credit requires that demand be in the form of a draft;</w:t>
      </w:r>
    </w:p>
    <w:p>
      <w:pPr>
        <w:spacing w:after="0" w:line="37" w:lineRule="exact"/>
        <w:rPr>
          <w:rFonts w:ascii="Times New Roman" w:cs="Times New Roman" w:eastAsia="Times New Roman" w:hAnsi="Times New Roman"/>
          <w:sz w:val="14"/>
          <w:szCs w:val="14"/>
          <w:color w:val="auto"/>
        </w:rPr>
      </w:pPr>
    </w:p>
    <w:p>
      <w:pPr>
        <w:ind w:left="420" w:right="20" w:firstLine="440"/>
        <w:spacing w:after="0" w:line="268" w:lineRule="auto"/>
        <w:tabs>
          <w:tab w:leader="none" w:pos="1236"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payment made by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jc w:val="both"/>
        <w:ind w:left="420" w:firstLine="440"/>
        <w:spacing w:after="0" w:line="254" w:lineRule="auto"/>
        <w:tabs>
          <w:tab w:leader="none" w:pos="1261"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payment by L/C Issuer under such Letter of Credit against presentation of a draft or certificate that does not strictly comply with the terms of such Letter of Credit; or any payment made by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2" w:lineRule="exact"/>
        <w:rPr>
          <w:rFonts w:ascii="Times New Roman" w:cs="Times New Roman" w:eastAsia="Times New Roman" w:hAnsi="Times New Roman"/>
          <w:sz w:val="14"/>
          <w:szCs w:val="14"/>
          <w:color w:val="auto"/>
        </w:rPr>
      </w:pPr>
    </w:p>
    <w:p>
      <w:pPr>
        <w:ind w:left="420" w:right="20" w:firstLine="440"/>
        <w:spacing w:after="0" w:line="261" w:lineRule="auto"/>
        <w:tabs>
          <w:tab w:leader="none" w:pos="135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circumstance or happening whatsoever, whether or not similar to any of the foregoing, including any other circumstance that might otherwise constitute a defense available to, or a discharge of, any Borrower or any Subsidiary.</w:t>
      </w:r>
    </w:p>
    <w:p>
      <w:pPr>
        <w:spacing w:after="0" w:line="1" w:lineRule="exact"/>
        <w:rPr>
          <w:sz w:val="20"/>
          <w:szCs w:val="20"/>
          <w:color w:val="auto"/>
        </w:rPr>
      </w:pPr>
    </w:p>
    <w:p>
      <w:pPr>
        <w:jc w:val="both"/>
        <w:ind w:left="420" w:firstLine="432"/>
        <w:spacing w:after="0" w:line="258" w:lineRule="auto"/>
        <w:rPr>
          <w:sz w:val="20"/>
          <w:szCs w:val="20"/>
          <w:color w:val="auto"/>
        </w:rPr>
      </w:pPr>
      <w:r>
        <w:rPr>
          <w:rFonts w:ascii="Times New Roman" w:cs="Times New Roman" w:eastAsia="Times New Roman" w:hAnsi="Times New Roman"/>
          <w:sz w:val="14"/>
          <w:szCs w:val="14"/>
          <w:color w:val="auto"/>
        </w:rPr>
        <w:t>The applicable Borrower shall promptly examine a copy of each Letter of Credit and each amendment thereto that is delivered to it and, in the event of any claim of noncompliance with such Borrower’s instructions or other irregularity, such Borrower will immediately notify L/C Issuer. Each Borrower shall be conclusively deemed to have waived any such claim against L/C Issuer and its correspondents unless such notice is given as aforesaid.</w:t>
      </w:r>
    </w:p>
    <w:p>
      <w:pPr>
        <w:spacing w:after="0" w:line="1" w:lineRule="exact"/>
        <w:rPr>
          <w:sz w:val="20"/>
          <w:szCs w:val="20"/>
          <w:color w:val="auto"/>
        </w:rPr>
      </w:pPr>
    </w:p>
    <w:p>
      <w:pPr>
        <w:jc w:val="both"/>
        <w:ind w:firstLine="428"/>
        <w:spacing w:after="0" w:line="250" w:lineRule="auto"/>
        <w:tabs>
          <w:tab w:leader="none" w:pos="740" w:val="left"/>
        </w:tabs>
        <w:numPr>
          <w:ilvl w:val="0"/>
          <w:numId w:val="1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Role of L/C Issuer</w:t>
      </w:r>
      <w:r>
        <w:rPr>
          <w:rFonts w:ascii="Times New Roman" w:cs="Times New Roman" w:eastAsia="Times New Roman" w:hAnsi="Times New Roman"/>
          <w:sz w:val="14"/>
          <w:szCs w:val="14"/>
          <w:color w:val="auto"/>
        </w:rPr>
        <w:t>. Each Lender and each Borrower agree that, in paying any drawing under a Letter of Credit, L/C Issuer shall not have any responsibility to obtain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document (other than any sight draft, certificates and documents expressly required by the Letter of Credit) or to ascertain or inquire as to the validity or accuracy of any such document or the authority of the Person executing or delivering any such document. None of L/C Issuer, Administrative Agent, any of their respective Related Parties nor any correspondent, participant or assignee of L/C Issuer shall be liable to any Lender for (i) any action taken or omitted in connection herewith at the request or with the approval of Required Lenders; (ii) any action taken or omitted in the absence of gross negligence or willful misconduct; or (iii) the due execution, effectiveness, validity or enforceability of any document or instrument related to any Letter of Credit or Issuer Document. Each Borrower hereby assumes all risks of the acts or omissions of any beneficiary or transferee</w:t>
      </w:r>
    </w:p>
    <w:p>
      <w:pPr>
        <w:spacing w:after="0" w:line="37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440"/>
          </w:cols>
          <w:pgMar w:left="1160" w:top="287" w:right="299" w:bottom="1440" w:gutter="0" w:footer="0" w:header="0"/>
        </w:sectPr>
      </w:pPr>
    </w:p>
    <w:bookmarkStart w:id="136" w:name="page137"/>
    <w:bookmarkEnd w:id="136"/>
    <w:p>
      <w:pPr>
        <w:ind w:left="982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 xml:space="preserve">with respect to its use of any Letter of Credit;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this assumption is not intended to, and shall not, preclude such Borrower’s pursuing such rights and remedies as it may have against the beneficiary or transferee at law or under any other agreement. None of L/C Issuer, Administrative Agent, any of their respective Related Parties nor any correspondent, participant or assignee of L/C Issuer shall be liable or responsible for any of the matters described in </w:t>
      </w:r>
      <w:r>
        <w:rPr>
          <w:rFonts w:ascii="Times New Roman" w:cs="Times New Roman" w:eastAsia="Times New Roman" w:hAnsi="Times New Roman"/>
          <w:sz w:val="14"/>
          <w:szCs w:val="14"/>
          <w:b w:val="1"/>
          <w:bCs w:val="1"/>
          <w:i w:val="1"/>
          <w:iCs w:val="1"/>
          <w:color w:val="auto"/>
        </w:rPr>
        <w:t>clauses (i)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b w:val="1"/>
          <w:bCs w:val="1"/>
          <w:i w:val="1"/>
          <w:iCs w:val="1"/>
          <w:color w:val="auto"/>
        </w:rPr>
        <w:t>(viii)</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i w:val="1"/>
          <w:iCs w:val="1"/>
          <w:color w:val="auto"/>
        </w:rPr>
        <w:t>Section 2.2(e)</w:t>
      </w:r>
      <w:r>
        <w:rPr>
          <w:rFonts w:ascii="Times New Roman" w:cs="Times New Roman" w:eastAsia="Times New Roman" w:hAnsi="Times New Roman"/>
          <w:sz w:val="14"/>
          <w:szCs w:val="14"/>
          <w:i w:val="1"/>
          <w:iCs w:val="1"/>
          <w:color w:val="auto"/>
        </w:rPr>
        <w:t>; 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anything in such clauses to the contrary notwithstanding, each Borrower may have a claim against L/C Issuer, and L/C Issuer may be liable to such Borrower, to the extent, but only to the extent, of any direct, as opposed to consequential or exemplary, damages suffered by such Borrower which such Borrower proves were directly caused by L/C Issuer’s willful misconduct or gross negligence or L/C Issuer’s willful failure to pay under any Letter of Credit after the presentation to it by the beneficiary of a sight draft and certificate(s) strictly complying with the terms and conditions of a Letter of Credit. In furtherance and not in limitation of the foregoing, L/C Issuer may accept documents that appear on their face to be in order, without responsibility for further investigation, regardless of any notice or information to the contrary, and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L/C Issuer may send a Letter of Credit or conduct any communication to or from the beneficiary via the Society for Worldwide Interbank Financial Telecommunication message or overnight courier, or any other commercially reasonable means of communicating with a beneficiary.</w:t>
      </w:r>
    </w:p>
    <w:p>
      <w:pPr>
        <w:spacing w:after="0" w:line="9" w:lineRule="exact"/>
        <w:rPr>
          <w:sz w:val="20"/>
          <w:szCs w:val="20"/>
          <w:color w:val="auto"/>
        </w:rPr>
      </w:pPr>
    </w:p>
    <w:p>
      <w:pPr>
        <w:jc w:val="both"/>
        <w:ind w:firstLine="428"/>
        <w:spacing w:after="0" w:line="246" w:lineRule="auto"/>
        <w:tabs>
          <w:tab w:leader="none" w:pos="736" w:val="left"/>
        </w:tabs>
        <w:numPr>
          <w:ilvl w:val="0"/>
          <w:numId w:val="1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Applicability of ISP; Limitation of Liability</w:t>
      </w:r>
      <w:r>
        <w:rPr>
          <w:rFonts w:ascii="Times New Roman" w:cs="Times New Roman" w:eastAsia="Times New Roman" w:hAnsi="Times New Roman"/>
          <w:sz w:val="14"/>
          <w:szCs w:val="14"/>
          <w:color w:val="auto"/>
        </w:rPr>
        <w:t>. Unless otherwise expressly agreed by L/C Issuer and the applicable Borrower when a Letter of Credit is issued, the rules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ISP shall apply to each standby Letter of Credit. Notwithstanding the foregoing, L/C Issuer shall not be responsible to any Borrower for, and L/C Issuer’s rights and remedies against such Borrower shall not be impaired by, any action or inaction of L/C Issuer required or permitted under any Law, order, or practice that is required or permitted to be applied to any Letter of Credit or this Agreement, including the Law or any order of a jurisdiction where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or other Issuer Document chooses such Law or practice.</w:t>
      </w:r>
    </w:p>
    <w:p>
      <w:pPr>
        <w:spacing w:after="0" w:line="170" w:lineRule="exact"/>
        <w:rPr>
          <w:rFonts w:ascii="Times New Roman" w:cs="Times New Roman" w:eastAsia="Times New Roman" w:hAnsi="Times New Roman"/>
          <w:sz w:val="14"/>
          <w:szCs w:val="14"/>
          <w:b w:val="1"/>
          <w:bCs w:val="1"/>
          <w:color w:val="auto"/>
        </w:rPr>
      </w:pPr>
    </w:p>
    <w:p>
      <w:pPr>
        <w:jc w:val="both"/>
        <w:ind w:firstLine="428"/>
        <w:spacing w:after="0" w:line="247" w:lineRule="auto"/>
        <w:tabs>
          <w:tab w:leader="none" w:pos="760" w:val="left"/>
        </w:tabs>
        <w:numPr>
          <w:ilvl w:val="0"/>
          <w:numId w:val="1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Fronting Fee and Documentary and Processing Charges Payable to L/C Issuer</w:t>
      </w:r>
      <w:r>
        <w:rPr>
          <w:rFonts w:ascii="Times New Roman" w:cs="Times New Roman" w:eastAsia="Times New Roman" w:hAnsi="Times New Roman"/>
          <w:sz w:val="14"/>
          <w:szCs w:val="14"/>
          <w:color w:val="auto"/>
        </w:rPr>
        <w:t>. Borrowers shall pay directly to L/C Issuer for its own account a fronting fee at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rate per annum separately agreed between applicable Borrower and L/C Issuer, computed on the daily amount available to be drawn under such Letter of Credit and payable on a quarterly basis in arrears. Such fronting fee shall be due and payable on the first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4"/>
          <w:szCs w:val="14"/>
          <w:b w:val="1"/>
          <w:bCs w:val="1"/>
          <w:i w:val="1"/>
          <w:iCs w:val="1"/>
          <w:color w:val="auto"/>
        </w:rPr>
        <w:t>Section 1.4</w:t>
      </w:r>
      <w:r>
        <w:rPr>
          <w:rFonts w:ascii="Times New Roman" w:cs="Times New Roman" w:eastAsia="Times New Roman" w:hAnsi="Times New Roman"/>
          <w:sz w:val="14"/>
          <w:szCs w:val="14"/>
          <w:color w:val="auto"/>
        </w:rPr>
        <w:t>. In addition, Borrowers shall pay directly to L/C Issuer for its own account the customary issuance, presentation, amendment and other processing fees, and other standard costs and charges, of L/C Issuer relating to letters of credit as from time to time in effect. Such customary fees and standard costs and charges are due and payable on demand and are nonrefundable.</w:t>
      </w:r>
    </w:p>
    <w:p>
      <w:pPr>
        <w:spacing w:after="0" w:line="37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440"/>
          </w:cols>
          <w:pgMar w:left="1160" w:top="287" w:right="299" w:bottom="1440" w:gutter="0" w:footer="0" w:header="0"/>
        </w:sectPr>
      </w:pPr>
    </w:p>
    <w:bookmarkStart w:id="137" w:name="page138"/>
    <w:bookmarkEnd w:id="137"/>
    <w:p>
      <w:pPr>
        <w:ind w:left="954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6" w:lineRule="exact"/>
        <w:rPr>
          <w:sz w:val="20"/>
          <w:szCs w:val="20"/>
          <w:color w:val="auto"/>
        </w:rPr>
      </w:pPr>
    </w:p>
    <w:p>
      <w:pPr>
        <w:ind w:left="-280" w:right="660" w:firstLine="428"/>
        <w:spacing w:after="0" w:line="293" w:lineRule="auto"/>
        <w:tabs>
          <w:tab w:leader="none" w:pos="432" w:val="left"/>
        </w:tabs>
        <w:numPr>
          <w:ilvl w:val="0"/>
          <w:numId w:val="1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Conflict with Issuer Documents</w:t>
      </w:r>
      <w:r>
        <w:rPr>
          <w:rFonts w:ascii="Times New Roman" w:cs="Times New Roman" w:eastAsia="Times New Roman" w:hAnsi="Times New Roman"/>
          <w:sz w:val="14"/>
          <w:szCs w:val="14"/>
          <w:color w:val="auto"/>
        </w:rPr>
        <w:t>. In the event of any conflict between the terms hereof and the terms of any Issuer Document, the terms hereof shall control.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b w:val="1"/>
          <w:bCs w:val="1"/>
          <w:u w:val="single" w:color="auto"/>
          <w:color w:val="auto"/>
        </w:rPr>
        <w:t>Swing Line Loans.</w:t>
      </w:r>
    </w:p>
    <w:p>
      <w:pPr>
        <w:spacing w:after="0" w:line="1" w:lineRule="exact"/>
        <w:rPr>
          <w:sz w:val="20"/>
          <w:szCs w:val="20"/>
          <w:color w:val="auto"/>
        </w:rPr>
      </w:pPr>
    </w:p>
    <w:p>
      <w:pPr>
        <w:jc w:val="both"/>
        <w:ind w:left="-280" w:firstLine="428"/>
        <w:spacing w:after="0" w:line="244" w:lineRule="auto"/>
        <w:tabs>
          <w:tab w:leader="none" w:pos="467" w:val="left"/>
        </w:tabs>
        <w:numPr>
          <w:ilvl w:val="0"/>
          <w:numId w:val="1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The Swing Line</w:t>
      </w:r>
      <w:r>
        <w:rPr>
          <w:rFonts w:ascii="Times New Roman" w:cs="Times New Roman" w:eastAsia="Times New Roman" w:hAnsi="Times New Roman"/>
          <w:sz w:val="14"/>
          <w:szCs w:val="14"/>
          <w:color w:val="auto"/>
        </w:rPr>
        <w:t>. Subject to the terms and conditions set forth herein, Swing Line Lender, in reliance upon the agreements of the other Lenders set forth in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2.3</w:t>
      </w:r>
      <w:r>
        <w:rPr>
          <w:rFonts w:ascii="Times New Roman" w:cs="Times New Roman" w:eastAsia="Times New Roman" w:hAnsi="Times New Roman"/>
          <w:sz w:val="14"/>
          <w:szCs w:val="14"/>
          <w:color w:val="auto"/>
        </w:rPr>
        <w:t>, may in its sole discretion make loans (each such loan, a “</w:t>
      </w:r>
      <w:r>
        <w:rPr>
          <w:rFonts w:ascii="Times New Roman" w:cs="Times New Roman" w:eastAsia="Times New Roman" w:hAnsi="Times New Roman"/>
          <w:sz w:val="14"/>
          <w:szCs w:val="14"/>
          <w:b w:val="1"/>
          <w:bCs w:val="1"/>
          <w:i w:val="1"/>
          <w:iCs w:val="1"/>
          <w:color w:val="auto"/>
        </w:rPr>
        <w:t>Swing Line Loan</w:t>
      </w:r>
      <w:r>
        <w:rPr>
          <w:rFonts w:ascii="Times New Roman" w:cs="Times New Roman" w:eastAsia="Times New Roman" w:hAnsi="Times New Roman"/>
          <w:sz w:val="14"/>
          <w:szCs w:val="14"/>
          <w:color w:val="auto"/>
        </w:rPr>
        <w:t>”) to any Borrower from time to time on any Business Day during the period from the Closing Date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to the Maturity Date in an aggregate amount not to exceed at any time outstanding the amount of the Swing Line Sublimit, notwithstanding the fact that such Swing Line Loans, when aggregated with the Applicable Percentage of the Outstanding Amount of Revolving Credit Loans and L/C Obligations of the Lender acting as Swing Line Lender, may exceed the amount of such Lender’s Commitment;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(i) immediately after giving effect to any Swing Line Loan, (A) the Revolving Credit Exposure of all Lenders shall not exceed the Line Cap in effect at such time, and (B) except as provided above with respect to the Swing Line Lender, the Revolving Credit Exposure of any Lender shall not exceed such Lender’s Commitment, (ii) no Borrower shall use the proceeds of any Swing Line Loan to refinance any outstanding Swing Line Loan, and (iii) Swing Line Lender shall not be under any obligation to make any Swing Line Loan if it shall determine (which determination shall be in its sole discretion) that it has, or by such Credit Extension may have, Fronting Exposure. Within the foregoing limits, and subject to the other terms and conditions hereof, each Borrower may borrow under this </w:t>
      </w:r>
      <w:r>
        <w:rPr>
          <w:rFonts w:ascii="Times New Roman" w:cs="Times New Roman" w:eastAsia="Times New Roman" w:hAnsi="Times New Roman"/>
          <w:sz w:val="14"/>
          <w:szCs w:val="14"/>
          <w:b w:val="1"/>
          <w:bCs w:val="1"/>
          <w:i w:val="1"/>
          <w:iCs w:val="1"/>
          <w:color w:val="auto"/>
        </w:rPr>
        <w:t>Section 2.3</w:t>
      </w:r>
      <w:r>
        <w:rPr>
          <w:rFonts w:ascii="Times New Roman" w:cs="Times New Roman" w:eastAsia="Times New Roman" w:hAnsi="Times New Roman"/>
          <w:sz w:val="14"/>
          <w:szCs w:val="14"/>
          <w:color w:val="auto"/>
        </w:rPr>
        <w:t xml:space="preserve">, prepay under </w:t>
      </w:r>
      <w:r>
        <w:rPr>
          <w:rFonts w:ascii="Times New Roman" w:cs="Times New Roman" w:eastAsia="Times New Roman" w:hAnsi="Times New Roman"/>
          <w:sz w:val="14"/>
          <w:szCs w:val="14"/>
          <w:b w:val="1"/>
          <w:bCs w:val="1"/>
          <w:i w:val="1"/>
          <w:iCs w:val="1"/>
          <w:color w:val="auto"/>
        </w:rPr>
        <w:t>Section 2.9(b)</w:t>
      </w:r>
      <w:r>
        <w:rPr>
          <w:rFonts w:ascii="Times New Roman" w:cs="Times New Roman" w:eastAsia="Times New Roman" w:hAnsi="Times New Roman"/>
          <w:sz w:val="14"/>
          <w:szCs w:val="14"/>
          <w:color w:val="auto"/>
        </w:rPr>
        <w:t xml:space="preserve">, and reborrow under this </w:t>
      </w:r>
      <w:r>
        <w:rPr>
          <w:rFonts w:ascii="Times New Roman" w:cs="Times New Roman" w:eastAsia="Times New Roman" w:hAnsi="Times New Roman"/>
          <w:sz w:val="14"/>
          <w:szCs w:val="14"/>
          <w:b w:val="1"/>
          <w:bCs w:val="1"/>
          <w:i w:val="1"/>
          <w:iCs w:val="1"/>
          <w:color w:val="auto"/>
        </w:rPr>
        <w:t>Section 2.3</w:t>
      </w:r>
      <w:r>
        <w:rPr>
          <w:rFonts w:ascii="Times New Roman" w:cs="Times New Roman" w:eastAsia="Times New Roman" w:hAnsi="Times New Roman"/>
          <w:sz w:val="14"/>
          <w:szCs w:val="14"/>
          <w:color w:val="auto"/>
        </w:rPr>
        <w:t>. Each Swing Line Loan shall bear interest as a Base Rate Loan. Immediately upon the making of a Swing Line Loan, each Lender shall be deemed to, and hereby irrevocably and unconditionally agrees to, purchase from Swing Line Lender a risk participation in such Swing Line Loan in an amount equal to the product of such Lender’s Applicable Percentage times the amount of such Swing Line Loan.</w:t>
      </w:r>
    </w:p>
    <w:p>
      <w:pPr>
        <w:spacing w:after="0" w:line="8" w:lineRule="exact"/>
        <w:rPr>
          <w:rFonts w:ascii="Times New Roman" w:cs="Times New Roman" w:eastAsia="Times New Roman" w:hAnsi="Times New Roman"/>
          <w:sz w:val="14"/>
          <w:szCs w:val="14"/>
          <w:b w:val="1"/>
          <w:bCs w:val="1"/>
          <w:color w:val="auto"/>
        </w:rPr>
      </w:pPr>
    </w:p>
    <w:p>
      <w:pPr>
        <w:jc w:val="both"/>
        <w:ind w:left="-280" w:firstLine="428"/>
        <w:spacing w:after="0" w:line="244" w:lineRule="auto"/>
        <w:tabs>
          <w:tab w:leader="none" w:pos="486" w:val="left"/>
        </w:tabs>
        <w:numPr>
          <w:ilvl w:val="0"/>
          <w:numId w:val="1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Borrowing Procedures</w:t>
      </w:r>
      <w:r>
        <w:rPr>
          <w:rFonts w:ascii="Times New Roman" w:cs="Times New Roman" w:eastAsia="Times New Roman" w:hAnsi="Times New Roman"/>
          <w:sz w:val="14"/>
          <w:szCs w:val="14"/>
          <w:color w:val="auto"/>
        </w:rPr>
        <w:t>. Each Swing Line Borrowing shall be made upon the Borrower Representative’s irrevocable notice to Swing Line Lender and Administrative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Agent, which may be given by telephone. Each such notice must be received by Swing Line Lender and Administrative Agent not later than 1:00 p.m. on the requested borrowing date, and shall specify (i) the amount to be borrowed, which shall be a minimum of $100,000, and (ii) the requested borrowing date, which shall be a Business Day. Each such telephonic notice must be confirmed promptly by delivery to Swing Line Lender and Administrative Agent of a written Swing Line Loan Request, appropriately completed and signed by a Responsible Officer of the Borrower Representative. Any telephonic request for a Swing Line Loan by the Borrower Representative shall be promptly confirmed by submission of a properly completed Swing Line Loan Request, signed by a Responsible Officer of the Borrower Representative, to Swing Line Lender and Administrative Agent, but failure to deliver a Swing Line Loan Request shall not be a defense to payment of any Swing Line Borrowing. Neither Swing Line Lender nor Administrative Agent shall have any liability to any Borrower for any loss or damage suffered by such Borrower as a result of Swing Line Lender’s or Administrative Agent’s honoring of any requests, execution of any instructions, authorizations or agreements or reliance on any reports communicated to it telephonically, by facsimile or electronically and purporting to have been sent to Swing Line Lender or Administrative Agent by such Borrower and neither Swing Line Lender nor Administrative Agent shall have any duty to verify the origin of any such communication or the identity or authority of the Person sending it. Promptly after receipt by Swing Line Lender of any telephonic Swing Line Loan Request, Swing Line Lender will confirm with Administrative Agent (by telephone or in writing) that Administrative Agent has also received such Swing Line Loan Request and, if not, Swing Line Lender will notify Administrative Agent (by telephone or in writing) of the contents thereof. Unless Swing</w:t>
      </w:r>
    </w:p>
    <w:p>
      <w:pPr>
        <w:spacing w:after="0" w:line="37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60"/>
          </w:cols>
          <w:pgMar w:left="1440" w:top="287" w:right="29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 xml:space="preserve">Line Lender has received notice (by telephone or in writing) from Administrative Agent prior to 2:00 p.m. on the date of the proposed Swing Line Borrowing (A) directing Swing Line Lender not to make such Swing Line Loan as a result of the limitations set forth in the first proviso to the first sentence of </w:t>
      </w:r>
      <w:r>
        <w:rPr>
          <w:rFonts w:ascii="Times New Roman" w:cs="Times New Roman" w:eastAsia="Times New Roman" w:hAnsi="Times New Roman"/>
          <w:sz w:val="14"/>
          <w:szCs w:val="14"/>
          <w:b w:val="1"/>
          <w:bCs w:val="1"/>
          <w:i w:val="1"/>
          <w:iCs w:val="1"/>
          <w:color w:val="auto"/>
        </w:rPr>
        <w:t>Section 2.3(a)</w:t>
      </w:r>
      <w:r>
        <w:rPr>
          <w:rFonts w:ascii="Times New Roman" w:cs="Times New Roman" w:eastAsia="Times New Roman" w:hAnsi="Times New Roman"/>
          <w:sz w:val="14"/>
          <w:szCs w:val="14"/>
          <w:color w:val="auto"/>
        </w:rPr>
        <w:t xml:space="preserve">, or (B) that one or more of the applicable conditions specified in </w:t>
      </w:r>
      <w:r>
        <w:rPr>
          <w:rFonts w:ascii="Times New Roman" w:cs="Times New Roman" w:eastAsia="Times New Roman" w:hAnsi="Times New Roman"/>
          <w:sz w:val="14"/>
          <w:szCs w:val="14"/>
          <w:b w:val="1"/>
          <w:bCs w:val="1"/>
          <w:i w:val="1"/>
          <w:iCs w:val="1"/>
          <w:color w:val="auto"/>
        </w:rPr>
        <w:t>Article 4</w:t>
      </w:r>
      <w:r>
        <w:rPr>
          <w:rFonts w:ascii="Times New Roman" w:cs="Times New Roman" w:eastAsia="Times New Roman" w:hAnsi="Times New Roman"/>
          <w:sz w:val="14"/>
          <w:szCs w:val="14"/>
          <w:color w:val="auto"/>
        </w:rPr>
        <w:t xml:space="preserve"> is not then satisfied, then, subject to the terms and conditions hereof, Swing Line Lender may, not later than 3:00 p.m. on the borrowing date specified in such Swing Line Loan Request, make the amount of its Swing Line Loan available to the applicable Borrower at its office by crediting the account of such Borrower on the books of Swing Line Lender in immediately available funds.</w:t>
      </w:r>
    </w:p>
    <w:p>
      <w:pPr>
        <w:spacing w:after="0" w:line="2" w:lineRule="exact"/>
        <w:rPr>
          <w:sz w:val="20"/>
          <w:szCs w:val="20"/>
          <w:color w:val="auto"/>
        </w:rPr>
      </w:pPr>
    </w:p>
    <w:p>
      <w:pPr>
        <w:ind w:left="740" w:hanging="312"/>
        <w:spacing w:after="0"/>
        <w:tabs>
          <w:tab w:leader="none" w:pos="740"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Refinancing of Swing Line Loans</w:t>
      </w:r>
      <w:r>
        <w:rPr>
          <w:rFonts w:ascii="Times New Roman" w:cs="Times New Roman" w:eastAsia="Times New Roman" w:hAnsi="Times New Roman"/>
          <w:sz w:val="14"/>
          <w:szCs w:val="14"/>
          <w:color w:val="auto"/>
        </w:rPr>
        <w:t>.</w:t>
      </w:r>
    </w:p>
    <w:p>
      <w:pPr>
        <w:spacing w:after="0" w:line="29" w:lineRule="exact"/>
        <w:rPr>
          <w:rFonts w:ascii="Times New Roman" w:cs="Times New Roman" w:eastAsia="Times New Roman" w:hAnsi="Times New Roman"/>
          <w:sz w:val="14"/>
          <w:szCs w:val="14"/>
          <w:b w:val="1"/>
          <w:bCs w:val="1"/>
          <w:color w:val="auto"/>
        </w:rPr>
      </w:pPr>
    </w:p>
    <w:p>
      <w:pPr>
        <w:jc w:val="both"/>
        <w:ind w:left="420" w:firstLine="440"/>
        <w:spacing w:after="0" w:line="246" w:lineRule="auto"/>
        <w:tabs>
          <w:tab w:leader="none" w:pos="1163"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five (5) Business Day payment requirement in </w:t>
      </w:r>
      <w:r>
        <w:rPr>
          <w:rFonts w:ascii="Times New Roman" w:cs="Times New Roman" w:eastAsia="Times New Roman" w:hAnsi="Times New Roman"/>
          <w:sz w:val="14"/>
          <w:szCs w:val="14"/>
          <w:b w:val="1"/>
          <w:bCs w:val="1"/>
          <w:i w:val="1"/>
          <w:iCs w:val="1"/>
          <w:color w:val="auto"/>
        </w:rPr>
        <w:t>Section 2.8(a)</w:t>
      </w:r>
      <w:r>
        <w:rPr>
          <w:rFonts w:ascii="Times New Roman" w:cs="Times New Roman" w:eastAsia="Times New Roman" w:hAnsi="Times New Roman"/>
          <w:sz w:val="14"/>
          <w:szCs w:val="14"/>
          <w:color w:val="auto"/>
        </w:rPr>
        <w:t xml:space="preserve"> for any outstanding Swing Line Loans, Swing Line Lender at any time in its sole discretion may request, on behalf of Borrowers (which hereby irrevocably authorize Swing Line Lender to so request on its behalf), that each Lender make a Revolving Credit Loan in an amount equal to such Lender’s Applicable Percentage of the amount of Swing Line Loans then outstanding. Such request shall be made in writing (which written request shall be deemed to be a Borrowing Request for purposes hereof) and in accordance with the requirements of </w:t>
      </w:r>
      <w:r>
        <w:rPr>
          <w:rFonts w:ascii="Times New Roman" w:cs="Times New Roman" w:eastAsia="Times New Roman" w:hAnsi="Times New Roman"/>
          <w:sz w:val="14"/>
          <w:szCs w:val="14"/>
          <w:b w:val="1"/>
          <w:bCs w:val="1"/>
          <w:i w:val="1"/>
          <w:iCs w:val="1"/>
          <w:color w:val="auto"/>
        </w:rPr>
        <w:t>Section 2.1</w:t>
      </w:r>
      <w:r>
        <w:rPr>
          <w:rFonts w:ascii="Times New Roman" w:cs="Times New Roman" w:eastAsia="Times New Roman" w:hAnsi="Times New Roman"/>
          <w:sz w:val="14"/>
          <w:szCs w:val="14"/>
          <w:color w:val="auto"/>
        </w:rPr>
        <w:t xml:space="preserve">, subject to Availability and the conditions set forth in </w:t>
      </w:r>
      <w:r>
        <w:rPr>
          <w:rFonts w:ascii="Times New Roman" w:cs="Times New Roman" w:eastAsia="Times New Roman" w:hAnsi="Times New Roman"/>
          <w:sz w:val="14"/>
          <w:szCs w:val="14"/>
          <w:b w:val="1"/>
          <w:bCs w:val="1"/>
          <w:i w:val="1"/>
          <w:iCs w:val="1"/>
          <w:color w:val="auto"/>
        </w:rPr>
        <w:t>Section 4.2</w:t>
      </w:r>
      <w:r>
        <w:rPr>
          <w:rFonts w:ascii="Times New Roman" w:cs="Times New Roman" w:eastAsia="Times New Roman" w:hAnsi="Times New Roman"/>
          <w:sz w:val="14"/>
          <w:szCs w:val="14"/>
          <w:color w:val="auto"/>
        </w:rPr>
        <w:t xml:space="preserve">. Swing Line Lender shall furnish the Borrower Representative with a copy of the applicable Borrowing Request promptly after delivering such notice to Administrative Agent. Each Lender shall make an amount equal to its Applicable Percentage of the amount specified in such Borrowing Request available to Administrative Agent in immediately available funds (and Administrative Agent may apply Cash Collateral available with respect to the applicable Swing Line Loan) for the account of Swing Line Lender at Administrative Agent’s Principal Office not later than 1:00 p.m. on the day specified in such Borrowing Request, whereupon, subject to </w:t>
      </w:r>
      <w:r>
        <w:rPr>
          <w:rFonts w:ascii="Times New Roman" w:cs="Times New Roman" w:eastAsia="Times New Roman" w:hAnsi="Times New Roman"/>
          <w:sz w:val="14"/>
          <w:szCs w:val="14"/>
          <w:b w:val="1"/>
          <w:bCs w:val="1"/>
          <w:i w:val="1"/>
          <w:iCs w:val="1"/>
          <w:color w:val="auto"/>
        </w:rPr>
        <w:t>Section 2.3(c)(ii)</w:t>
      </w:r>
      <w:r>
        <w:rPr>
          <w:rFonts w:ascii="Times New Roman" w:cs="Times New Roman" w:eastAsia="Times New Roman" w:hAnsi="Times New Roman"/>
          <w:sz w:val="14"/>
          <w:szCs w:val="14"/>
          <w:color w:val="auto"/>
        </w:rPr>
        <w:t>, each Lender that so makes funds available shall be deemed to have made a Revolving Credit Loan to Borrowers in such amount. Administrative Agent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shall remit the funds so received to Swing Line Lender.</w:t>
      </w:r>
    </w:p>
    <w:p>
      <w:pPr>
        <w:spacing w:after="0" w:line="2" w:lineRule="exact"/>
        <w:rPr>
          <w:rFonts w:ascii="Times New Roman" w:cs="Times New Roman" w:eastAsia="Times New Roman" w:hAnsi="Times New Roman"/>
          <w:sz w:val="14"/>
          <w:szCs w:val="14"/>
          <w:color w:val="auto"/>
        </w:rPr>
      </w:pPr>
    </w:p>
    <w:p>
      <w:pPr>
        <w:jc w:val="both"/>
        <w:ind w:left="420" w:firstLine="440"/>
        <w:spacing w:after="0" w:line="252" w:lineRule="auto"/>
        <w:tabs>
          <w:tab w:leader="none" w:pos="1242"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for any reason any Swing Line Loan cannot be refinanced by such a Revolving Credit Borrowing in accordance with </w:t>
      </w:r>
      <w:r>
        <w:rPr>
          <w:rFonts w:ascii="Times New Roman" w:cs="Times New Roman" w:eastAsia="Times New Roman" w:hAnsi="Times New Roman"/>
          <w:sz w:val="14"/>
          <w:szCs w:val="14"/>
          <w:b w:val="1"/>
          <w:bCs w:val="1"/>
          <w:i w:val="1"/>
          <w:iCs w:val="1"/>
          <w:color w:val="auto"/>
        </w:rPr>
        <w:t>Section 2.3(c)(i)</w:t>
      </w:r>
      <w:r>
        <w:rPr>
          <w:rFonts w:ascii="Times New Roman" w:cs="Times New Roman" w:eastAsia="Times New Roman" w:hAnsi="Times New Roman"/>
          <w:sz w:val="14"/>
          <w:szCs w:val="14"/>
          <w:color w:val="auto"/>
        </w:rPr>
        <w:t xml:space="preserve">, the request for Revolving Credit Loans submitted by Swing Line Lender as set forth herein shall be deemed to be a request by Swing Line Lender that each Lender fund its risk participation in the relevant Swing Line Loan and each Lender’s payment to Administrative Agent for the account of Swing Line Lender pursuant to </w:t>
      </w:r>
      <w:r>
        <w:rPr>
          <w:rFonts w:ascii="Times New Roman" w:cs="Times New Roman" w:eastAsia="Times New Roman" w:hAnsi="Times New Roman"/>
          <w:sz w:val="14"/>
          <w:szCs w:val="14"/>
          <w:b w:val="1"/>
          <w:bCs w:val="1"/>
          <w:i w:val="1"/>
          <w:iCs w:val="1"/>
          <w:color w:val="auto"/>
        </w:rPr>
        <w:t>Section 2.3(c)(i)</w:t>
      </w:r>
      <w:r>
        <w:rPr>
          <w:rFonts w:ascii="Times New Roman" w:cs="Times New Roman" w:eastAsia="Times New Roman" w:hAnsi="Times New Roman"/>
          <w:sz w:val="14"/>
          <w:szCs w:val="14"/>
          <w:color w:val="auto"/>
        </w:rPr>
        <w:t xml:space="preserve"> shall be deemed payment in respect of such participation.</w:t>
      </w:r>
    </w:p>
    <w:p>
      <w:pPr>
        <w:spacing w:after="0" w:line="2" w:lineRule="exact"/>
        <w:rPr>
          <w:rFonts w:ascii="Times New Roman" w:cs="Times New Roman" w:eastAsia="Times New Roman" w:hAnsi="Times New Roman"/>
          <w:sz w:val="14"/>
          <w:szCs w:val="14"/>
          <w:color w:val="auto"/>
        </w:rPr>
      </w:pPr>
    </w:p>
    <w:p>
      <w:pPr>
        <w:jc w:val="both"/>
        <w:ind w:left="420" w:firstLine="440"/>
        <w:spacing w:after="0" w:line="248" w:lineRule="auto"/>
        <w:tabs>
          <w:tab w:leader="none" w:pos="1214"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Lender fails to make available to Administrative Agent for the account of Swing Line Lender any amount required to be paid by such Lender pursuant to the foregoing provisions of this </w:t>
      </w:r>
      <w:r>
        <w:rPr>
          <w:rFonts w:ascii="Times New Roman" w:cs="Times New Roman" w:eastAsia="Times New Roman" w:hAnsi="Times New Roman"/>
          <w:sz w:val="14"/>
          <w:szCs w:val="14"/>
          <w:b w:val="1"/>
          <w:bCs w:val="1"/>
          <w:i w:val="1"/>
          <w:iCs w:val="1"/>
          <w:color w:val="auto"/>
        </w:rPr>
        <w:t>Section 2.3(c)</w:t>
      </w:r>
      <w:r>
        <w:rPr>
          <w:rFonts w:ascii="Times New Roman" w:cs="Times New Roman" w:eastAsia="Times New Roman" w:hAnsi="Times New Roman"/>
          <w:sz w:val="14"/>
          <w:szCs w:val="14"/>
          <w:color w:val="auto"/>
        </w:rPr>
        <w:t xml:space="preserve"> by the time specified in </w:t>
      </w:r>
      <w:r>
        <w:rPr>
          <w:rFonts w:ascii="Times New Roman" w:cs="Times New Roman" w:eastAsia="Times New Roman" w:hAnsi="Times New Roman"/>
          <w:sz w:val="14"/>
          <w:szCs w:val="14"/>
          <w:b w:val="1"/>
          <w:bCs w:val="1"/>
          <w:i w:val="1"/>
          <w:iCs w:val="1"/>
          <w:color w:val="auto"/>
        </w:rPr>
        <w:t>Section 2.3(c)(i)</w:t>
      </w:r>
      <w:r>
        <w:rPr>
          <w:rFonts w:ascii="Times New Roman" w:cs="Times New Roman" w:eastAsia="Times New Roman" w:hAnsi="Times New Roman"/>
          <w:sz w:val="14"/>
          <w:szCs w:val="14"/>
          <w:color w:val="auto"/>
        </w:rPr>
        <w:t>, Swing Line Lender shall be entitled to recover from such Lender (acting through Administrative Agent), on demand, such amount with interest thereon for the period from the date such payment is required to the date on which such payment is immediately available to Swing Line Lender at a rate per annum equal to the greater of the Federal Funds Rate and a rate determined by Swing Line Lender in accordance with banking industry rules on interbank compensation, plus any administrative, processing or similar fees customarily charged by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w:t>
      </w:r>
    </w:p>
    <w:p>
      <w:pPr>
        <w:spacing w:after="0" w:line="37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440"/>
          </w:cols>
          <w:pgMar w:left="1160" w:top="287" w:right="29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4"/>
          <w:szCs w:val="14"/>
          <w:color w:val="auto"/>
        </w:rPr>
        <w:t xml:space="preserve">certificate of Swing Line Lender submitted to any Lender (through Administrative Agent) with respect to any amounts owing under this </w:t>
      </w:r>
      <w:r>
        <w:rPr>
          <w:rFonts w:ascii="Times New Roman" w:cs="Times New Roman" w:eastAsia="Times New Roman" w:hAnsi="Times New Roman"/>
          <w:sz w:val="14"/>
          <w:szCs w:val="14"/>
          <w:b w:val="1"/>
          <w:bCs w:val="1"/>
          <w:i w:val="1"/>
          <w:iCs w:val="1"/>
          <w:color w:val="auto"/>
        </w:rPr>
        <w:t>clause (iii)</w:t>
      </w:r>
      <w:r>
        <w:rPr>
          <w:rFonts w:ascii="Times New Roman" w:cs="Times New Roman" w:eastAsia="Times New Roman" w:hAnsi="Times New Roman"/>
          <w:sz w:val="14"/>
          <w:szCs w:val="14"/>
          <w:color w:val="auto"/>
        </w:rPr>
        <w:t xml:space="preserve"> shall be conclusive absent manifest error.</w:t>
      </w:r>
    </w:p>
    <w:p>
      <w:pPr>
        <w:jc w:val="both"/>
        <w:ind w:left="420" w:firstLine="8"/>
        <w:spacing w:after="0" w:line="248" w:lineRule="auto"/>
        <w:tabs>
          <w:tab w:leader="none" w:pos="816"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Lender’s obligation to make Revolving Credit Loans or to purchase and fund risk participations in Swing Line Loans pursuant to this </w:t>
      </w:r>
      <w:r>
        <w:rPr>
          <w:rFonts w:ascii="Times New Roman" w:cs="Times New Roman" w:eastAsia="Times New Roman" w:hAnsi="Times New Roman"/>
          <w:sz w:val="14"/>
          <w:szCs w:val="14"/>
          <w:b w:val="1"/>
          <w:bCs w:val="1"/>
          <w:i w:val="1"/>
          <w:iCs w:val="1"/>
          <w:color w:val="auto"/>
        </w:rPr>
        <w:t>Section 2.3(c)</w:t>
      </w:r>
      <w:r>
        <w:rPr>
          <w:rFonts w:ascii="Times New Roman" w:cs="Times New Roman" w:eastAsia="Times New Roman" w:hAnsi="Times New Roman"/>
          <w:sz w:val="14"/>
          <w:szCs w:val="14"/>
          <w:color w:val="auto"/>
        </w:rPr>
        <w:t xml:space="preserve"> shall be absolute and unconditional and shall not be affected by any circumstance, including (A) any setoff, counterclaim, recoupment, defense or other right which such Lender may have against Swing Line Lender, Borrowers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each Lender’s obligation to make Revolving Credit Loans pursuant to this </w:t>
      </w:r>
      <w:r>
        <w:rPr>
          <w:rFonts w:ascii="Times New Roman" w:cs="Times New Roman" w:eastAsia="Times New Roman" w:hAnsi="Times New Roman"/>
          <w:sz w:val="14"/>
          <w:szCs w:val="14"/>
          <w:b w:val="1"/>
          <w:bCs w:val="1"/>
          <w:i w:val="1"/>
          <w:iCs w:val="1"/>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 xml:space="preserve">2.3(c) </w:t>
      </w:r>
      <w:r>
        <w:rPr>
          <w:rFonts w:ascii="Times New Roman" w:cs="Times New Roman" w:eastAsia="Times New Roman" w:hAnsi="Times New Roman"/>
          <w:sz w:val="14"/>
          <w:szCs w:val="14"/>
          <w:color w:val="auto"/>
        </w:rPr>
        <w:t>is subject to Availability and the conditions set forth in</w:t>
      </w:r>
      <w:r>
        <w:rPr>
          <w:rFonts w:ascii="Times New Roman" w:cs="Times New Roman" w:eastAsia="Times New Roman" w:hAnsi="Times New Roman"/>
          <w:sz w:val="14"/>
          <w:szCs w:val="14"/>
          <w:b w:val="1"/>
          <w:bCs w:val="1"/>
          <w:i w:val="1"/>
          <w:iCs w:val="1"/>
          <w:color w:val="auto"/>
        </w:rPr>
        <w:t xml:space="preserve"> Section 4.2</w:t>
      </w:r>
      <w:r>
        <w:rPr>
          <w:rFonts w:ascii="Times New Roman" w:cs="Times New Roman" w:eastAsia="Times New Roman" w:hAnsi="Times New Roman"/>
          <w:sz w:val="14"/>
          <w:szCs w:val="14"/>
          <w:color w:val="auto"/>
        </w:rPr>
        <w:t>. No such funding of risk participations shall relieve or otherwise impair the obligation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Borrowers to repay Swing Line Loans, together with interest as provided herein.</w:t>
      </w:r>
    </w:p>
    <w:p>
      <w:pPr>
        <w:spacing w:after="0" w:line="3" w:lineRule="exact"/>
        <w:rPr>
          <w:sz w:val="20"/>
          <w:szCs w:val="20"/>
          <w:color w:val="auto"/>
        </w:rPr>
      </w:pPr>
    </w:p>
    <w:p>
      <w:pPr>
        <w:ind w:left="740" w:hanging="312"/>
        <w:spacing w:after="0"/>
        <w:tabs>
          <w:tab w:leader="none" w:pos="740" w:val="left"/>
        </w:tabs>
        <w:numPr>
          <w:ilvl w:val="0"/>
          <w:numId w:val="1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Repayment of Participations</w:t>
      </w:r>
      <w:r>
        <w:rPr>
          <w:rFonts w:ascii="Times New Roman" w:cs="Times New Roman" w:eastAsia="Times New Roman" w:hAnsi="Times New Roman"/>
          <w:sz w:val="14"/>
          <w:szCs w:val="14"/>
          <w:color w:val="auto"/>
        </w:rPr>
        <w:t>.</w:t>
      </w:r>
    </w:p>
    <w:p>
      <w:pPr>
        <w:spacing w:after="0" w:line="39" w:lineRule="exact"/>
        <w:rPr>
          <w:rFonts w:ascii="Times New Roman" w:cs="Times New Roman" w:eastAsia="Times New Roman" w:hAnsi="Times New Roman"/>
          <w:sz w:val="14"/>
          <w:szCs w:val="14"/>
          <w:b w:val="1"/>
          <w:bCs w:val="1"/>
          <w:color w:val="auto"/>
        </w:rPr>
      </w:pPr>
    </w:p>
    <w:p>
      <w:pPr>
        <w:ind w:left="420" w:firstLine="440"/>
        <w:spacing w:after="0" w:line="268" w:lineRule="auto"/>
        <w:tabs>
          <w:tab w:leader="none" w:pos="1162"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after any Lender has purchased and funded a risk participation in a Swing Line Loan, if Swing Line Lender receives any payment on account of such Swing Line Loan, Swing Line Lender will distribute to such Lender its Applicable Percentage thereof in the same funds as those received by Swing Line Lender.</w:t>
      </w:r>
    </w:p>
    <w:p>
      <w:pPr>
        <w:jc w:val="both"/>
        <w:ind w:left="420" w:firstLine="440"/>
        <w:spacing w:after="0" w:line="251" w:lineRule="auto"/>
        <w:tabs>
          <w:tab w:leader="none" w:pos="1216"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payment received by Swing Line Lender in respect of principal or interest on any Swing Line Loan is required to be returned by Swing Line Lender under any of the circumstances described in </w:t>
      </w:r>
      <w:r>
        <w:rPr>
          <w:rFonts w:ascii="Times New Roman" w:cs="Times New Roman" w:eastAsia="Times New Roman" w:hAnsi="Times New Roman"/>
          <w:sz w:val="14"/>
          <w:szCs w:val="14"/>
          <w:b w:val="1"/>
          <w:bCs w:val="1"/>
          <w:i w:val="1"/>
          <w:iCs w:val="1"/>
          <w:color w:val="auto"/>
        </w:rPr>
        <w:t>Section 11.23</w:t>
      </w:r>
      <w:r>
        <w:rPr>
          <w:rFonts w:ascii="Times New Roman" w:cs="Times New Roman" w:eastAsia="Times New Roman" w:hAnsi="Times New Roman"/>
          <w:sz w:val="14"/>
          <w:szCs w:val="14"/>
          <w:color w:val="auto"/>
        </w:rPr>
        <w:t xml:space="preserve"> (including pursuant to any settlement entered into by Swing Line Lender in its discretion), each Lender shall pay to Swing Line Lender its Applicable Percentage thereof on demand of Administrative Agent, plus interest thereon from the date of such demand to the date such amount is returned, at a rate per annum equal to the Federal Funds Rate. Administrative Agent will make such demand upon the request of Swing Line Lender. The obligations of Lenders under this </w:t>
      </w:r>
      <w:r>
        <w:rPr>
          <w:rFonts w:ascii="Times New Roman" w:cs="Times New Roman" w:eastAsia="Times New Roman" w:hAnsi="Times New Roman"/>
          <w:sz w:val="14"/>
          <w:szCs w:val="14"/>
          <w:b w:val="1"/>
          <w:bCs w:val="1"/>
          <w:i w:val="1"/>
          <w:iCs w:val="1"/>
          <w:color w:val="auto"/>
        </w:rPr>
        <w:t>clause (ii)</w:t>
      </w:r>
      <w:r>
        <w:rPr>
          <w:rFonts w:ascii="Times New Roman" w:cs="Times New Roman" w:eastAsia="Times New Roman" w:hAnsi="Times New Roman"/>
          <w:sz w:val="14"/>
          <w:szCs w:val="14"/>
          <w:color w:val="auto"/>
        </w:rPr>
        <w:t xml:space="preserve"> shall survive the payment in full of the Obligations and the termination of this Agreement.</w:t>
      </w:r>
    </w:p>
    <w:p>
      <w:pPr>
        <w:spacing w:after="0" w:line="2" w:lineRule="exact"/>
        <w:rPr>
          <w:rFonts w:ascii="Times New Roman" w:cs="Times New Roman" w:eastAsia="Times New Roman" w:hAnsi="Times New Roman"/>
          <w:sz w:val="14"/>
          <w:szCs w:val="14"/>
          <w:color w:val="auto"/>
        </w:rPr>
      </w:pPr>
    </w:p>
    <w:p>
      <w:pPr>
        <w:jc w:val="both"/>
        <w:ind w:firstLine="428"/>
        <w:spacing w:after="0" w:line="254" w:lineRule="auto"/>
        <w:tabs>
          <w:tab w:leader="none" w:pos="739" w:val="left"/>
        </w:tabs>
        <w:numPr>
          <w:ilvl w:val="0"/>
          <w:numId w:val="1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Interest for Account of Swing Line Lender</w:t>
      </w:r>
      <w:r>
        <w:rPr>
          <w:rFonts w:ascii="Times New Roman" w:cs="Times New Roman" w:eastAsia="Times New Roman" w:hAnsi="Times New Roman"/>
          <w:sz w:val="14"/>
          <w:szCs w:val="14"/>
          <w:color w:val="auto"/>
        </w:rPr>
        <w:t>. Swing Line Lender shall be responsible for invoicing Borrowers for interest on the Swing Line Loans. Until each Lender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funds its Revolving Credit Loan or risk participation pursuant to this </w:t>
      </w:r>
      <w:r>
        <w:rPr>
          <w:rFonts w:ascii="Times New Roman" w:cs="Times New Roman" w:eastAsia="Times New Roman" w:hAnsi="Times New Roman"/>
          <w:sz w:val="14"/>
          <w:szCs w:val="14"/>
          <w:b w:val="1"/>
          <w:bCs w:val="1"/>
          <w:i w:val="1"/>
          <w:iCs w:val="1"/>
          <w:color w:val="auto"/>
        </w:rPr>
        <w:t>Section 2.3</w:t>
      </w:r>
      <w:r>
        <w:rPr>
          <w:rFonts w:ascii="Times New Roman" w:cs="Times New Roman" w:eastAsia="Times New Roman" w:hAnsi="Times New Roman"/>
          <w:sz w:val="14"/>
          <w:szCs w:val="14"/>
          <w:color w:val="auto"/>
        </w:rPr>
        <w:t xml:space="preserve"> to refinance such Lender’s Applicable Percentage of any Swing Line Loan, interest in respect of such Applicable Percentage shall be solely for the account of Swing Line Lender.</w:t>
      </w:r>
    </w:p>
    <w:p>
      <w:pPr>
        <w:spacing w:after="0" w:line="1" w:lineRule="exact"/>
        <w:rPr>
          <w:rFonts w:ascii="Times New Roman" w:cs="Times New Roman" w:eastAsia="Times New Roman" w:hAnsi="Times New Roman"/>
          <w:sz w:val="14"/>
          <w:szCs w:val="14"/>
          <w:b w:val="1"/>
          <w:bCs w:val="1"/>
          <w:color w:val="auto"/>
        </w:rPr>
      </w:pPr>
    </w:p>
    <w:p>
      <w:pPr>
        <w:ind w:firstLine="428"/>
        <w:spacing w:after="0" w:line="268" w:lineRule="auto"/>
        <w:tabs>
          <w:tab w:leader="none" w:pos="723" w:val="left"/>
        </w:tabs>
        <w:numPr>
          <w:ilvl w:val="0"/>
          <w:numId w:val="1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Payments to Swing Line Lender or Lenders</w:t>
      </w:r>
      <w:r>
        <w:rPr>
          <w:rFonts w:ascii="Times New Roman" w:cs="Times New Roman" w:eastAsia="Times New Roman" w:hAnsi="Times New Roman"/>
          <w:sz w:val="14"/>
          <w:szCs w:val="14"/>
          <w:color w:val="auto"/>
        </w:rPr>
        <w:t>. Borrowers shall make all payments of principal and interest in respect of the Swing Line Loans to Administrative Agent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the account of Swing Line Lender or Lenders, as applicable.</w:t>
      </w:r>
    </w:p>
    <w:p>
      <w:pPr>
        <w:jc w:val="both"/>
        <w:ind w:firstLine="428"/>
        <w:spacing w:after="0" w:line="250" w:lineRule="auto"/>
        <w:tabs>
          <w:tab w:leader="none" w:pos="865" w:val="left"/>
        </w:tabs>
        <w:numPr>
          <w:ilvl w:val="0"/>
          <w:numId w:val="1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Replacement of Swing Line Lender. </w:t>
      </w:r>
      <w:r>
        <w:rPr>
          <w:rFonts w:ascii="Times New Roman" w:cs="Times New Roman" w:eastAsia="Times New Roman" w:hAnsi="Times New Roman"/>
          <w:sz w:val="14"/>
          <w:szCs w:val="14"/>
          <w:color w:val="auto"/>
        </w:rPr>
        <w:t>The Swing Line Lender may be replaced at any time by written agreement among the Borrower Representative,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Administrative Agent, the replaced Swing Line Lender and the successor Swing Line Lender. The Administrative Agent shall notify the Lenders of any such replacement of the Swing Line Lender. At the time any such replacement shall become effective, the Borrowers shall pay all unpaid interest accrued for the account of the replaced Swing Line Lender pursuant to </w:t>
      </w:r>
      <w:r>
        <w:rPr>
          <w:rFonts w:ascii="Times New Roman" w:cs="Times New Roman" w:eastAsia="Times New Roman" w:hAnsi="Times New Roman"/>
          <w:sz w:val="14"/>
          <w:szCs w:val="14"/>
          <w:b w:val="1"/>
          <w:bCs w:val="1"/>
          <w:i w:val="1"/>
          <w:iCs w:val="1"/>
          <w:color w:val="auto"/>
        </w:rPr>
        <w:t>Section 2.8(a)</w:t>
      </w:r>
      <w:r>
        <w:rPr>
          <w:rFonts w:ascii="Times New Roman" w:cs="Times New Roman" w:eastAsia="Times New Roman" w:hAnsi="Times New Roman"/>
          <w:sz w:val="14"/>
          <w:szCs w:val="14"/>
          <w:color w:val="auto"/>
        </w:rPr>
        <w:t>. From and after the effective date of any such replacement, (x) the successor Swing Line Lender shall have all the rights and obligations of the replaced Swing Line Lender under this Agreement with respect to Swing Line Loans made thereafter and (y) references herein to the term “Swing Line Lender” shall be deemed to refer to such successor or to any previous Swing Line Lender, or to such successor and</w:t>
      </w:r>
    </w:p>
    <w:p>
      <w:pPr>
        <w:spacing w:after="0" w:line="37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440"/>
          </w:cols>
          <w:pgMar w:left="1160" w:top="287" w:right="29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4"/>
          <w:szCs w:val="14"/>
          <w:color w:val="auto"/>
        </w:rPr>
        <w:t>all previous Swing Line Lenders, as the context shall require. After the replacement of the Swing Line Lender hereunder, the replaced Swing Line Lender shall remain a party hereto and shall continue to have all the rights and obligations of the Swing Line Lender under this Agreement with respect to Swing Line Loans made by it prior to its replacement, but shall not be required to make additional Swing Line Loans.</w:t>
      </w:r>
    </w:p>
    <w:p>
      <w:pPr>
        <w:spacing w:after="0" w:line="1" w:lineRule="exact"/>
        <w:rPr>
          <w:sz w:val="20"/>
          <w:szCs w:val="20"/>
          <w:color w:val="auto"/>
        </w:rPr>
      </w:pPr>
    </w:p>
    <w:p>
      <w:pPr>
        <w:jc w:val="both"/>
        <w:ind w:left="440" w:firstLine="428"/>
        <w:spacing w:after="0" w:line="255" w:lineRule="auto"/>
        <w:tabs>
          <w:tab w:leader="none" w:pos="1223" w:val="left"/>
        </w:tabs>
        <w:numPr>
          <w:ilvl w:val="0"/>
          <w:numId w:val="1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Resignation of Swing Line Lender</w:t>
      </w:r>
      <w:r>
        <w:rPr>
          <w:rFonts w:ascii="Times New Roman" w:cs="Times New Roman" w:eastAsia="Times New Roman" w:hAnsi="Times New Roman"/>
          <w:sz w:val="14"/>
          <w:szCs w:val="14"/>
          <w:color w:val="auto"/>
        </w:rPr>
        <w:t>. Subject to the appointment and acceptance of a successor Swing Line Lender, the Swing Line Lender may resign as the Swing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Line Lender at any time upon thirty (30) days’ prior written notice to the Administrative Agent, the Borrower Representative and the Lenders, in which case, the Swing Line Lender shall be replaced in accordance with </w:t>
      </w:r>
      <w:r>
        <w:rPr>
          <w:rFonts w:ascii="Times New Roman" w:cs="Times New Roman" w:eastAsia="Times New Roman" w:hAnsi="Times New Roman"/>
          <w:sz w:val="14"/>
          <w:szCs w:val="14"/>
          <w:b w:val="1"/>
          <w:bCs w:val="1"/>
          <w:i w:val="1"/>
          <w:iCs w:val="1"/>
          <w:color w:val="auto"/>
        </w:rPr>
        <w:t>Section 2.3(g)</w:t>
      </w:r>
      <w:r>
        <w:rPr>
          <w:rFonts w:ascii="Times New Roman" w:cs="Times New Roman" w:eastAsia="Times New Roman" w:hAnsi="Times New Roman"/>
          <w:sz w:val="14"/>
          <w:szCs w:val="14"/>
          <w:color w:val="auto"/>
        </w:rPr>
        <w:t xml:space="preserve"> above.</w:t>
      </w:r>
    </w:p>
    <w:p>
      <w:pPr>
        <w:spacing w:after="0" w:line="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color w:val="auto"/>
        </w:rPr>
        <w:t>Section 2.4</w:t>
      </w:r>
      <w:r>
        <w:rPr>
          <w:sz w:val="20"/>
          <w:szCs w:val="20"/>
          <w:color w:val="auto"/>
        </w:rPr>
        <w:tab/>
      </w:r>
      <w:r>
        <w:rPr>
          <w:rFonts w:ascii="Times New Roman" w:cs="Times New Roman" w:eastAsia="Times New Roman" w:hAnsi="Times New Roman"/>
          <w:sz w:val="14"/>
          <w:szCs w:val="14"/>
          <w:b w:val="1"/>
          <w:bCs w:val="1"/>
          <w:u w:val="single" w:color="auto"/>
          <w:color w:val="auto"/>
        </w:rPr>
        <w:t>Fees.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5" w:lineRule="exact"/>
        <w:rPr>
          <w:sz w:val="20"/>
          <w:szCs w:val="20"/>
          <w:color w:val="auto"/>
        </w:rPr>
      </w:pPr>
    </w:p>
    <w:p>
      <w:pPr>
        <w:ind w:left="440" w:firstLine="428"/>
        <w:spacing w:after="0" w:line="266" w:lineRule="auto"/>
        <w:tabs>
          <w:tab w:leader="none" w:pos="1247" w:val="left"/>
        </w:tabs>
        <w:numPr>
          <w:ilvl w:val="0"/>
          <w:numId w:val="1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Fees</w:t>
      </w:r>
      <w:r>
        <w:rPr>
          <w:rFonts w:ascii="Times New Roman" w:cs="Times New Roman" w:eastAsia="Times New Roman" w:hAnsi="Times New Roman"/>
          <w:sz w:val="14"/>
          <w:szCs w:val="14"/>
          <w:color w:val="auto"/>
        </w:rPr>
        <w:t>. Borrowers agree to pay to Administrative Agent and any applicable Arranger, for the account of Administrative Agent, such Arranger and each Lender,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applicable, fees, in the amounts and on the dates set forth in any Fee Letter.</w:t>
      </w:r>
    </w:p>
    <w:p>
      <w:pPr>
        <w:spacing w:after="0" w:line="1" w:lineRule="exact"/>
        <w:rPr>
          <w:rFonts w:ascii="Times New Roman" w:cs="Times New Roman" w:eastAsia="Times New Roman" w:hAnsi="Times New Roman"/>
          <w:sz w:val="14"/>
          <w:szCs w:val="14"/>
          <w:b w:val="1"/>
          <w:bCs w:val="1"/>
          <w:color w:val="auto"/>
        </w:rPr>
      </w:pPr>
    </w:p>
    <w:p>
      <w:pPr>
        <w:jc w:val="both"/>
        <w:ind w:left="440" w:firstLine="428"/>
        <w:spacing w:after="0" w:line="246" w:lineRule="auto"/>
        <w:tabs>
          <w:tab w:leader="none" w:pos="1259" w:val="left"/>
        </w:tabs>
        <w:numPr>
          <w:ilvl w:val="0"/>
          <w:numId w:val="1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Letter of Credit Fees</w:t>
      </w:r>
      <w:r>
        <w:rPr>
          <w:rFonts w:ascii="Times New Roman" w:cs="Times New Roman" w:eastAsia="Times New Roman" w:hAnsi="Times New Roman"/>
          <w:sz w:val="14"/>
          <w:szCs w:val="14"/>
          <w:color w:val="auto"/>
        </w:rPr>
        <w:t>. Borrowers shall pay to Administrative Agent for the account of each Lender in accordance,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11.21</w:t>
      </w:r>
      <w:r>
        <w:rPr>
          <w:rFonts w:ascii="Times New Roman" w:cs="Times New Roman" w:eastAsia="Times New Roman" w:hAnsi="Times New Roman"/>
          <w:sz w:val="14"/>
          <w:szCs w:val="14"/>
          <w:color w:val="auto"/>
        </w:rPr>
        <w:t>, with its Applicable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Percentage a Letter of Credit fee (the “</w:t>
      </w:r>
      <w:r>
        <w:rPr>
          <w:rFonts w:ascii="Times New Roman" w:cs="Times New Roman" w:eastAsia="Times New Roman" w:hAnsi="Times New Roman"/>
          <w:sz w:val="14"/>
          <w:szCs w:val="14"/>
          <w:b w:val="1"/>
          <w:bCs w:val="1"/>
          <w:i w:val="1"/>
          <w:iCs w:val="1"/>
          <w:color w:val="auto"/>
        </w:rPr>
        <w:t>Letter of Credit Fee</w:t>
      </w:r>
      <w:r>
        <w:rPr>
          <w:rFonts w:ascii="Times New Roman" w:cs="Times New Roman" w:eastAsia="Times New Roman" w:hAnsi="Times New Roman"/>
          <w:sz w:val="14"/>
          <w:szCs w:val="14"/>
          <w:color w:val="auto"/>
        </w:rPr>
        <w:t xml:space="preserve">”) equal to the Applicable Margin for Term SOFR Loans times the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4"/>
          <w:szCs w:val="14"/>
          <w:b w:val="1"/>
          <w:bCs w:val="1"/>
          <w:i w:val="1"/>
          <w:iCs w:val="1"/>
          <w:color w:val="auto"/>
        </w:rPr>
        <w:t>Section 1.4</w:t>
      </w:r>
      <w:r>
        <w:rPr>
          <w:rFonts w:ascii="Times New Roman" w:cs="Times New Roman" w:eastAsia="Times New Roman" w:hAnsi="Times New Roman"/>
          <w:sz w:val="14"/>
          <w:szCs w:val="14"/>
          <w:color w:val="auto"/>
        </w:rPr>
        <w:t>. Letter of Credit Fees shall be (i) due and payable in arrears on the first day after the end of each March, June, September and December, commencing with the first such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date to occur after the issuance or renewal of such Letter of Credit, on the Letter of Credit Expiration Date and thereafter on demand and (ii) computed on a quarterly basis in arrears. If there is any change in the Applicable Margin for Term SOFR Loans during any quarter, the daily amount available to be drawn under each standby Letter of Credit shall be computed and multiplied by the Applicable Margin for Term SOFR Loan separately for each period during such quarter that such Applicable Margin for Term SOFR Loans was in effect. Notwithstanding anything to the contrary contained herein while any Event of Default is continuing, all Letter of Credit Fees shall accrue at the Default Interest Rate.</w:t>
      </w:r>
    </w:p>
    <w:p>
      <w:pPr>
        <w:spacing w:after="0" w:line="2" w:lineRule="exact"/>
        <w:rPr>
          <w:rFonts w:ascii="Times New Roman" w:cs="Times New Roman" w:eastAsia="Times New Roman" w:hAnsi="Times New Roman"/>
          <w:sz w:val="14"/>
          <w:szCs w:val="14"/>
          <w:b w:val="1"/>
          <w:bCs w:val="1"/>
          <w:color w:val="auto"/>
        </w:rPr>
      </w:pPr>
    </w:p>
    <w:p>
      <w:pPr>
        <w:jc w:val="both"/>
        <w:ind w:left="440" w:firstLine="428"/>
        <w:spacing w:after="0" w:line="250" w:lineRule="auto"/>
        <w:tabs>
          <w:tab w:leader="none" w:pos="1241" w:val="left"/>
        </w:tabs>
        <w:numPr>
          <w:ilvl w:val="0"/>
          <w:numId w:val="1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 Fees</w:t>
      </w:r>
      <w:r>
        <w:rPr>
          <w:rFonts w:ascii="Times New Roman" w:cs="Times New Roman" w:eastAsia="Times New Roman" w:hAnsi="Times New Roman"/>
          <w:sz w:val="14"/>
          <w:szCs w:val="14"/>
          <w:color w:val="auto"/>
        </w:rPr>
        <w:t>. Borrowers agree to pay to Administrative Agent for the account of each Lender in accordance,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11.21</w:t>
      </w:r>
      <w:r>
        <w:rPr>
          <w:rFonts w:ascii="Times New Roman" w:cs="Times New Roman" w:eastAsia="Times New Roman" w:hAnsi="Times New Roman"/>
          <w:sz w:val="14"/>
          <w:szCs w:val="14"/>
          <w:color w:val="auto"/>
        </w:rPr>
        <w:t>, with its Applicable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Percentage a commitment fee on the daily average unused amount of the Commitment of such Lender for the period from and including the date of this Agreement to and including the Maturity Date (including at any time during which one or more of the conditions in </w:t>
      </w:r>
      <w:r>
        <w:rPr>
          <w:rFonts w:ascii="Times New Roman" w:cs="Times New Roman" w:eastAsia="Times New Roman" w:hAnsi="Times New Roman"/>
          <w:sz w:val="14"/>
          <w:szCs w:val="14"/>
          <w:b w:val="1"/>
          <w:bCs w:val="1"/>
          <w:i w:val="1"/>
          <w:iCs w:val="1"/>
          <w:color w:val="auto"/>
        </w:rPr>
        <w:t>Article 4</w:t>
      </w:r>
      <w:r>
        <w:rPr>
          <w:rFonts w:ascii="Times New Roman" w:cs="Times New Roman" w:eastAsia="Times New Roman" w:hAnsi="Times New Roman"/>
          <w:sz w:val="14"/>
          <w:szCs w:val="14"/>
          <w:color w:val="auto"/>
        </w:rPr>
        <w:t xml:space="preserve"> is not met), at a rate equal to the Applicable Margin applicable to commitment fees. For the purpose of calculating the commitment fee hereunder, the Commitment of each Lender shall be deemed utilized by the amount of all outstanding Revolving Credit Loans and L/C Obligations owing to such Lender whether directly or by participation. Accrued commitment fees shall be payable monthly in arrears on the first day of each and every calendar month during the term of this Agreement and on the Maturity Date.</w:t>
      </w:r>
    </w:p>
    <w:p>
      <w:pPr>
        <w:spacing w:after="0" w:line="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color w:val="auto"/>
        </w:rPr>
        <w:t>Section 2.5</w:t>
      </w:r>
      <w:r>
        <w:rPr>
          <w:sz w:val="20"/>
          <w:szCs w:val="20"/>
          <w:color w:val="auto"/>
        </w:rPr>
        <w:tab/>
      </w:r>
      <w:r>
        <w:rPr>
          <w:rFonts w:ascii="Times New Roman" w:cs="Times New Roman" w:eastAsia="Times New Roman" w:hAnsi="Times New Roman"/>
          <w:sz w:val="14"/>
          <w:szCs w:val="14"/>
          <w:b w:val="1"/>
          <w:bCs w:val="1"/>
          <w:u w:val="single" w:color="auto"/>
          <w:color w:val="auto"/>
        </w:rPr>
        <w:t>Payments Generally; Administrative Agent’s Clawback.</w:t>
      </w:r>
    </w:p>
    <w:p>
      <w:pPr>
        <w:spacing w:after="0" w:line="37" w:lineRule="exact"/>
        <w:rPr>
          <w:sz w:val="20"/>
          <w:szCs w:val="20"/>
          <w:color w:val="auto"/>
        </w:rPr>
      </w:pPr>
    </w:p>
    <w:p>
      <w:pPr>
        <w:jc w:val="both"/>
        <w:ind w:left="440" w:firstLine="428"/>
        <w:spacing w:after="0" w:line="256" w:lineRule="auto"/>
        <w:tabs>
          <w:tab w:leader="none" w:pos="1220" w:val="left"/>
        </w:tabs>
        <w:numPr>
          <w:ilvl w:val="0"/>
          <w:numId w:val="1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w:t>
      </w:r>
      <w:r>
        <w:rPr>
          <w:rFonts w:ascii="Times New Roman" w:cs="Times New Roman" w:eastAsia="Times New Roman" w:hAnsi="Times New Roman"/>
          <w:sz w:val="14"/>
          <w:szCs w:val="14"/>
          <w:color w:val="auto"/>
        </w:rPr>
        <w:t>. All payments of principal, interest, and other amounts to be made by any Borrower under this Agreement and the other Loan Documents shall be made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Administrative Agent for the account of Administrative Agent, L/C Issuer, or Swing Line Lender or the pro rata accounts of the applicable Lenders, as applicable, at the Principal Office in Dollars and immediately available funds, without setoff, deduction, or counterclaim, and free and clear of all taxes at the time and in the manner provided herein.</w:t>
      </w:r>
    </w:p>
    <w:p>
      <w:pPr>
        <w:spacing w:after="0" w:line="37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880"/>
          </w:cols>
          <w:pgMar w:left="720" w:top="287" w:right="29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Payments by check or draft shall not constitute payment in immediately available funds until the required amount is actually received by Administrative Agent in full. Payments in immediately available funds received by Administrative Agent in the place designated for payment on a Business Day prior to 11:00 a.m. at such place of payment shall be credited prior to the close of business on the Business Day received, while payments received by Administrative Agent on a day other than a Business Day or after 11:00 a.m. on a Business Day shall not be credited until the next succeeding Business Day. If any payment of principal or interest on the Notes shall become due and payable on a day other than a Business Day, then such payment shall be made on the next succeeding Business Day. Any such extension of time for payment shall be included in computing interest which has accrued and shall be payable in connection with such payment. Administrative Agent is hereby authorized upon notice to the Borrower Representative to charge the account of Borrowers maintained with Administrative Agent for each payment of principal, interest and fees as it becomes due hereunder.</w:t>
      </w:r>
    </w:p>
    <w:p>
      <w:pPr>
        <w:spacing w:after="0" w:line="4" w:lineRule="exact"/>
        <w:rPr>
          <w:sz w:val="20"/>
          <w:szCs w:val="20"/>
          <w:color w:val="auto"/>
        </w:rPr>
      </w:pPr>
    </w:p>
    <w:p>
      <w:pPr>
        <w:jc w:val="both"/>
        <w:ind w:firstLine="428"/>
        <w:spacing w:after="0" w:line="244" w:lineRule="auto"/>
        <w:tabs>
          <w:tab w:leader="none" w:pos="759" w:val="left"/>
        </w:tabs>
        <w:numPr>
          <w:ilvl w:val="0"/>
          <w:numId w:val="1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Funding by Lenders; Presumption by Administrative Agent</w:t>
      </w:r>
      <w:r>
        <w:rPr>
          <w:rFonts w:ascii="Times New Roman" w:cs="Times New Roman" w:eastAsia="Times New Roman" w:hAnsi="Times New Roman"/>
          <w:sz w:val="14"/>
          <w:szCs w:val="14"/>
          <w:color w:val="auto"/>
        </w:rPr>
        <w:t>. Unless Administrative Agent shall have received notice from a Lender that such Lender will not make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available to Administrative Agent such Lender’s share of a Borrowing, Administrative Agent may assume that such Lender has made such share available on such date in accordance with this Agreement and may, in reliance upon such assumption, make available to Borrowers a corresponding amount. In such event, if a Lender has not in fact made its share of the applicable Borrowing available to Administrative Agent, then the applicable Lender and Borrowers severally agree to pay to Administrative Agent forthwith on demand such corresponding amount with interest thereon, for each day from and including the date such amount is made available to Borrowers to but excluding the date of payment to Administrative Agent, at (i) in the case of a payment to be made by such Lender, the greater of the Federal Funds Rate and a rate determined by Administrative Agent in accordance with banking industry rules on interbank compensation, and (ii) in the case of a payment to be made by Borrowers, the interest rate applicable to the applicable Borrowing. If Borrowers and such Lender shall pay such interest to Administrative Agent for the same or an overlapping period, Administrative Agent shall promptly remit to Borrowers the amount of such interest paid by Borrowers for such period. If such Lender pays its share of the applicable Borrowing to Administrative Agent, then the amount so paid shall constitute such Lender’s Loan. Any payment by Borrowers shall be without prejudice to any claim Borrowers may have against a Lender that shall have failed to make such payment to Administrative Agent.</w:t>
      </w:r>
    </w:p>
    <w:p>
      <w:pPr>
        <w:spacing w:after="0" w:line="172" w:lineRule="exact"/>
        <w:rPr>
          <w:rFonts w:ascii="Times New Roman" w:cs="Times New Roman" w:eastAsia="Times New Roman" w:hAnsi="Times New Roman"/>
          <w:sz w:val="14"/>
          <w:szCs w:val="14"/>
          <w:b w:val="1"/>
          <w:bCs w:val="1"/>
          <w:color w:val="auto"/>
        </w:rPr>
      </w:pPr>
    </w:p>
    <w:p>
      <w:pPr>
        <w:jc w:val="both"/>
        <w:ind w:firstLine="428"/>
        <w:spacing w:after="0" w:line="248" w:lineRule="auto"/>
        <w:tabs>
          <w:tab w:leader="none" w:pos="743" w:val="left"/>
        </w:tabs>
        <w:numPr>
          <w:ilvl w:val="0"/>
          <w:numId w:val="1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Payments by Borrowers; Presumption by Administrative Agent</w:t>
      </w:r>
      <w:r>
        <w:rPr>
          <w:rFonts w:ascii="Times New Roman" w:cs="Times New Roman" w:eastAsia="Times New Roman" w:hAnsi="Times New Roman"/>
          <w:sz w:val="14"/>
          <w:szCs w:val="14"/>
          <w:color w:val="auto"/>
        </w:rPr>
        <w:t>. Unless Administrative Agent shall have received notice from the Borrower Representative prior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date on which any payment is due to Administrative Agent for the account of L/C Issuer, Swing Line Lender or the applicable Lenders hereunder that Borrowers will not make such payment, Administrative Agent may assume that Borrowers have made such payment on such date in accordance herewith and may, in reliance upon such assumption, distribute to L/C Issuer, Swing Line Lender or the applicable Lenders the amount due. In such event, if Borrowers have not in fact made such payment, then each of L/C Issuer, Swing Line Lender and the applicable Lenders, as applicable, severally agrees to repay to Administrative Agent forthwith on demand the amount so distributed to L/C Issuer, Swing Line Lender, or such Lender, with interest thereon, for each day from and including the date such amount is distributed to it to but excluding the date of payment to Administrative Agent, at the greater of the Federal Funds Rate and a rate determined by Administrative Agent in accordance with banking industry rules on interbank compensation.</w:t>
      </w:r>
    </w:p>
    <w:p>
      <w:pPr>
        <w:spacing w:after="0" w:line="3" w:lineRule="exact"/>
        <w:rPr>
          <w:rFonts w:ascii="Times New Roman" w:cs="Times New Roman" w:eastAsia="Times New Roman" w:hAnsi="Times New Roman"/>
          <w:sz w:val="14"/>
          <w:szCs w:val="14"/>
          <w:b w:val="1"/>
          <w:bCs w:val="1"/>
          <w:color w:val="auto"/>
        </w:rPr>
      </w:pPr>
    </w:p>
    <w:p>
      <w:pPr>
        <w:ind w:left="740" w:hanging="312"/>
        <w:spacing w:after="0"/>
        <w:tabs>
          <w:tab w:leader="none" w:pos="740" w:val="left"/>
        </w:tabs>
        <w:numPr>
          <w:ilvl w:val="0"/>
          <w:numId w:val="1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Cash Dominion</w:t>
      </w:r>
      <w:r>
        <w:rPr>
          <w:rFonts w:ascii="Times New Roman" w:cs="Times New Roman" w:eastAsia="Times New Roman" w:hAnsi="Times New Roman"/>
          <w:sz w:val="14"/>
          <w:szCs w:val="14"/>
          <w:color w:val="auto"/>
        </w:rPr>
        <w:t>.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6.12</w:t>
      </w:r>
      <w:r>
        <w:rPr>
          <w:rFonts w:ascii="Times New Roman" w:cs="Times New Roman" w:eastAsia="Times New Roman" w:hAnsi="Times New Roman"/>
          <w:sz w:val="14"/>
          <w:szCs w:val="14"/>
          <w:color w:val="auto"/>
        </w:rPr>
        <w:t>, during any Trigger Period, all funds credited to the Blocked Accounts shall be promptly applied by Administrative Agent</w:t>
      </w:r>
    </w:p>
    <w:p>
      <w:pPr>
        <w:spacing w:after="0" w:line="200" w:lineRule="exact"/>
        <w:rPr>
          <w:sz w:val="20"/>
          <w:szCs w:val="20"/>
          <w:color w:val="auto"/>
        </w:rPr>
      </w:pPr>
    </w:p>
    <w:p>
      <w:pPr>
        <w:spacing w:after="0" w:line="21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440"/>
          </w:cols>
          <w:pgMar w:left="1160" w:top="287" w:right="29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440"/>
        <w:spacing w:after="0" w:line="250" w:lineRule="auto"/>
        <w:rPr>
          <w:sz w:val="20"/>
          <w:szCs w:val="20"/>
          <w:color w:val="auto"/>
        </w:rPr>
      </w:pPr>
      <w:r>
        <w:rPr>
          <w:rFonts w:ascii="Times New Roman" w:cs="Times New Roman" w:eastAsia="Times New Roman" w:hAnsi="Times New Roman"/>
          <w:sz w:val="14"/>
          <w:szCs w:val="14"/>
          <w:color w:val="auto"/>
        </w:rPr>
        <w:t xml:space="preserve">to the Obligations whether or not such Obligations shall have, by its terms, matured, such application to be made to principal or interest or expenses as Administrative Agent may elect; provided, however, Administrative Agent need not apply or give credit for any item included in such sums until one Business Day after the final collection thereof; provided, further, however, that Administrative Agent’s failure to so apply any such sums shall not be a waiver of Administrative Agent’s right to so apply such sums or any other sums at any time during a Trigger Period. Notwithstanding anything herein to the contrary, to the extent any funds credited to the Blocked Accounts constitute Net Cash Proceeds (i) from any Disposition not otherwise permitted by </w:t>
      </w:r>
      <w:r>
        <w:rPr>
          <w:rFonts w:ascii="Times New Roman" w:cs="Times New Roman" w:eastAsia="Times New Roman" w:hAnsi="Times New Roman"/>
          <w:sz w:val="14"/>
          <w:szCs w:val="14"/>
          <w:b w:val="1"/>
          <w:bCs w:val="1"/>
          <w:i w:val="1"/>
          <w:iCs w:val="1"/>
          <w:color w:val="auto"/>
        </w:rPr>
        <w:t>Section 7.8</w:t>
      </w:r>
      <w:r>
        <w:rPr>
          <w:rFonts w:ascii="Times New Roman" w:cs="Times New Roman" w:eastAsia="Times New Roman" w:hAnsi="Times New Roman"/>
          <w:sz w:val="14"/>
          <w:szCs w:val="14"/>
          <w:color w:val="auto"/>
        </w:rPr>
        <w:t xml:space="preserve"> or (ii) from the incurrence of any Debt not permitted by </w:t>
      </w:r>
      <w:r>
        <w:rPr>
          <w:rFonts w:ascii="Times New Roman" w:cs="Times New Roman" w:eastAsia="Times New Roman" w:hAnsi="Times New Roman"/>
          <w:sz w:val="14"/>
          <w:szCs w:val="14"/>
          <w:b w:val="1"/>
          <w:bCs w:val="1"/>
          <w:i w:val="1"/>
          <w:iCs w:val="1"/>
          <w:color w:val="auto"/>
        </w:rPr>
        <w:t>Section 7.1</w:t>
      </w:r>
      <w:r>
        <w:rPr>
          <w:rFonts w:ascii="Times New Roman" w:cs="Times New Roman" w:eastAsia="Times New Roman" w:hAnsi="Times New Roman"/>
          <w:sz w:val="14"/>
          <w:szCs w:val="14"/>
          <w:color w:val="auto"/>
        </w:rPr>
        <w:t xml:space="preserve">, the application of such Net Cash Proceeds shall be subject to </w:t>
      </w:r>
      <w:r>
        <w:rPr>
          <w:rFonts w:ascii="Times New Roman" w:cs="Times New Roman" w:eastAsia="Times New Roman" w:hAnsi="Times New Roman"/>
          <w:sz w:val="14"/>
          <w:szCs w:val="14"/>
          <w:b w:val="1"/>
          <w:bCs w:val="1"/>
          <w:i w:val="1"/>
          <w:iCs w:val="1"/>
          <w:color w:val="auto"/>
        </w:rPr>
        <w:t>Section 2.9(c)</w:t>
      </w:r>
      <w:r>
        <w:rPr>
          <w:rFonts w:ascii="Times New Roman" w:cs="Times New Roman" w:eastAsia="Times New Roman" w:hAnsi="Times New Roman"/>
          <w:sz w:val="14"/>
          <w:szCs w:val="14"/>
          <w:color w:val="auto"/>
        </w:rPr>
        <w:t>.</w:t>
      </w:r>
    </w:p>
    <w:p>
      <w:pPr>
        <w:spacing w:after="0" w:line="16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color w:val="auto"/>
        </w:rPr>
        <w:t>Section 2.6</w:t>
      </w:r>
      <w:r>
        <w:rPr>
          <w:sz w:val="20"/>
          <w:szCs w:val="20"/>
          <w:color w:val="auto"/>
        </w:rPr>
        <w:tab/>
      </w:r>
      <w:r>
        <w:rPr>
          <w:rFonts w:ascii="Times New Roman" w:cs="Times New Roman" w:eastAsia="Times New Roman" w:hAnsi="Times New Roman"/>
          <w:sz w:val="14"/>
          <w:szCs w:val="14"/>
          <w:b w:val="1"/>
          <w:bCs w:val="1"/>
          <w:u w:val="single" w:color="auto"/>
          <w:color w:val="auto"/>
        </w:rPr>
        <w:t>Evidence of Debt.</w:t>
      </w:r>
    </w:p>
    <w:p>
      <w:pPr>
        <w:spacing w:after="0" w:line="38" w:lineRule="exact"/>
        <w:rPr>
          <w:sz w:val="20"/>
          <w:szCs w:val="20"/>
          <w:color w:val="auto"/>
        </w:rPr>
      </w:pPr>
    </w:p>
    <w:p>
      <w:pPr>
        <w:jc w:val="both"/>
        <w:ind w:left="440" w:firstLine="428"/>
        <w:spacing w:after="0" w:line="247" w:lineRule="auto"/>
        <w:tabs>
          <w:tab w:leader="none" w:pos="1188"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Loans made by Swing Line Lender and each Lender shall be evidenced by one or more accounts or records maintained by Swing Line Lender or such Lender and by Administrative Agent in the ordinary course of business; provided that such Lender or Administrative Agent may, in addition, request that such Loans be evidenced by the Notes. The Credit Extensions made by L/C Issuer shall be evidenced by one or more accounts or records maintained by L/C Issuer and by Administrative Agent in the ordinary course of business. The accounts or records maintained by Administrative Agent, Swing Line Lender, L/C Issuer, and each Lender shall be conclusive absent manifest error of the amount of the Credit Extensions made to any Borrower and the interest and payments thereon. Any failure to so record or any error in doing so shall not, however, limit or otherwise affect the obligation of any Borrower hereunder to pay any amount owing with respect to the Obligations. In the event of any conflict between the accounts and records maintained by L/C Issuer, Swing Line Lender, or any Lender and the accounts and records of Administrative Agent in respect of such matters, the accounts and records of Administrative Agent shall control in the absence of manifest error.</w:t>
      </w:r>
    </w:p>
    <w:p>
      <w:pPr>
        <w:spacing w:after="0" w:line="6" w:lineRule="exact"/>
        <w:rPr>
          <w:rFonts w:ascii="Times New Roman" w:cs="Times New Roman" w:eastAsia="Times New Roman" w:hAnsi="Times New Roman"/>
          <w:sz w:val="14"/>
          <w:szCs w:val="14"/>
          <w:color w:val="auto"/>
        </w:rPr>
      </w:pPr>
    </w:p>
    <w:p>
      <w:pPr>
        <w:jc w:val="both"/>
        <w:ind w:left="440" w:firstLine="428"/>
        <w:spacing w:after="0" w:line="250" w:lineRule="auto"/>
        <w:tabs>
          <w:tab w:leader="none" w:pos="1207"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accounts and records referred to in subsection (a) above, each Lender and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Administrative Agent and the accounts and records of any Lender in respect of such matters, the accounts and records of Administrative Agent shall control in the absence of manifest error.</w:t>
      </w:r>
    </w:p>
    <w:p>
      <w:pPr>
        <w:spacing w:after="0" w:line="2" w:lineRule="exact"/>
        <w:rPr>
          <w:rFonts w:ascii="Times New Roman" w:cs="Times New Roman" w:eastAsia="Times New Roman" w:hAnsi="Times New Roman"/>
          <w:sz w:val="14"/>
          <w:szCs w:val="14"/>
          <w:color w:val="auto"/>
        </w:rPr>
      </w:pPr>
    </w:p>
    <w:p>
      <w:pPr>
        <w:ind w:left="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b w:val="1"/>
          <w:bCs w:val="1"/>
          <w:u w:val="single" w:color="auto"/>
          <w:color w:val="auto"/>
        </w:rPr>
        <w:t>Cash Collateral.</w:t>
      </w:r>
    </w:p>
    <w:p>
      <w:pPr>
        <w:spacing w:after="0" w:line="35" w:lineRule="exact"/>
        <w:rPr>
          <w:sz w:val="20"/>
          <w:szCs w:val="20"/>
          <w:color w:val="auto"/>
        </w:rPr>
      </w:pPr>
    </w:p>
    <w:p>
      <w:pPr>
        <w:jc w:val="both"/>
        <w:ind w:left="440" w:firstLine="428"/>
        <w:spacing w:after="0" w:line="255" w:lineRule="auto"/>
        <w:tabs>
          <w:tab w:leader="none" w:pos="1204" w:val="left"/>
        </w:tabs>
        <w:numPr>
          <w:ilvl w:val="0"/>
          <w:numId w:val="1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Certain Credit Support Events</w:t>
      </w:r>
      <w:r>
        <w:rPr>
          <w:rFonts w:ascii="Times New Roman" w:cs="Times New Roman" w:eastAsia="Times New Roman" w:hAnsi="Times New Roman"/>
          <w:sz w:val="14"/>
          <w:szCs w:val="14"/>
          <w:color w:val="auto"/>
        </w:rPr>
        <w:t>.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11.21(a)(iv)</w:t>
      </w:r>
      <w:r>
        <w:rPr>
          <w:rFonts w:ascii="Times New Roman" w:cs="Times New Roman" w:eastAsia="Times New Roman" w:hAnsi="Times New Roman"/>
          <w:sz w:val="14"/>
          <w:szCs w:val="14"/>
          <w:color w:val="auto"/>
        </w:rPr>
        <w:t>, if (i) L/C Issuer has honored any full or partial drawing request under any Letter of Credit and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drawing has resulted in an L/C Borrowing, (ii) as of the Letter of Credit Expiration Date, any L/C Obligation for any reason remains outstanding, or (iii) any Borrower shall be required to provide Cash Collateral pursuant to </w:t>
      </w:r>
      <w:r>
        <w:rPr>
          <w:rFonts w:ascii="Times New Roman" w:cs="Times New Roman" w:eastAsia="Times New Roman" w:hAnsi="Times New Roman"/>
          <w:sz w:val="14"/>
          <w:szCs w:val="14"/>
          <w:b w:val="1"/>
          <w:bCs w:val="1"/>
          <w:i w:val="1"/>
          <w:iCs w:val="1"/>
          <w:color w:val="auto"/>
        </w:rPr>
        <w:t>Section 9.2</w:t>
      </w:r>
      <w:r>
        <w:rPr>
          <w:rFonts w:ascii="Times New Roman" w:cs="Times New Roman" w:eastAsia="Times New Roman" w:hAnsi="Times New Roman"/>
          <w:sz w:val="14"/>
          <w:szCs w:val="14"/>
          <w:color w:val="auto"/>
        </w:rPr>
        <w:t xml:space="preserve">, Borrowers shall immediately (in the case of </w:t>
      </w:r>
      <w:r>
        <w:rPr>
          <w:rFonts w:ascii="Times New Roman" w:cs="Times New Roman" w:eastAsia="Times New Roman" w:hAnsi="Times New Roman"/>
          <w:sz w:val="14"/>
          <w:szCs w:val="14"/>
          <w:b w:val="1"/>
          <w:bCs w:val="1"/>
          <w:i w:val="1"/>
          <w:iCs w:val="1"/>
          <w:color w:val="auto"/>
        </w:rPr>
        <w:t>clause (iii)</w:t>
      </w:r>
      <w:r>
        <w:rPr>
          <w:rFonts w:ascii="Times New Roman" w:cs="Times New Roman" w:eastAsia="Times New Roman" w:hAnsi="Times New Roman"/>
          <w:sz w:val="14"/>
          <w:szCs w:val="14"/>
          <w:color w:val="auto"/>
        </w:rPr>
        <w:t xml:space="preserve"> above) or within one (1) Business Day (in all other cases) following any request by Administrative Agent or L/C Issuer, provide Cash Collateral in an amount not less than the applicable Minimum Collateral Amount.</w:t>
      </w:r>
    </w:p>
    <w:p>
      <w:pPr>
        <w:spacing w:after="0" w:line="1" w:lineRule="exact"/>
        <w:rPr>
          <w:rFonts w:ascii="Times New Roman" w:cs="Times New Roman" w:eastAsia="Times New Roman" w:hAnsi="Times New Roman"/>
          <w:sz w:val="14"/>
          <w:szCs w:val="14"/>
          <w:b w:val="1"/>
          <w:bCs w:val="1"/>
          <w:color w:val="auto"/>
        </w:rPr>
      </w:pPr>
    </w:p>
    <w:p>
      <w:pPr>
        <w:jc w:val="both"/>
        <w:ind w:left="440" w:firstLine="428"/>
        <w:spacing w:after="0" w:line="251" w:lineRule="auto"/>
        <w:tabs>
          <w:tab w:leader="none" w:pos="1197" w:val="left"/>
        </w:tabs>
        <w:numPr>
          <w:ilvl w:val="0"/>
          <w:numId w:val="1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Grant of Security Interest</w:t>
      </w:r>
      <w:r>
        <w:rPr>
          <w:rFonts w:ascii="Times New Roman" w:cs="Times New Roman" w:eastAsia="Times New Roman" w:hAnsi="Times New Roman"/>
          <w:sz w:val="14"/>
          <w:szCs w:val="14"/>
          <w:color w:val="auto"/>
        </w:rPr>
        <w:t>. Each Borrower, and to the extent provided by any Defaulting Lender, such Defaulting Lender, hereby grants to (and subjects to the control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of) Administrative Agent, for the benefit of Administrative Agent, L/C Issuer and Lenders, and agrees to maintain, a first priority security interest in all such Cash Collateral,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4"/>
          <w:szCs w:val="14"/>
          <w:b w:val="1"/>
          <w:bCs w:val="1"/>
          <w:i w:val="1"/>
          <w:iCs w:val="1"/>
          <w:color w:val="auto"/>
        </w:rPr>
        <w:t>Section 2.7(c)</w:t>
      </w:r>
      <w:r>
        <w:rPr>
          <w:rFonts w:ascii="Times New Roman" w:cs="Times New Roman" w:eastAsia="Times New Roman" w:hAnsi="Times New Roman"/>
          <w:sz w:val="14"/>
          <w:szCs w:val="14"/>
          <w:color w:val="auto"/>
        </w:rPr>
        <w:t>. If at any time Administrative Agent determines that Cash Collateral is subject to any right or claim of any Person other than Administrative Agent or</w:t>
      </w:r>
    </w:p>
    <w:p>
      <w:pPr>
        <w:spacing w:after="0" w:line="38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880"/>
          </w:cols>
          <w:pgMar w:left="720" w:top="287" w:right="29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440"/>
        <w:spacing w:after="0" w:line="252" w:lineRule="auto"/>
        <w:rPr>
          <w:sz w:val="20"/>
          <w:szCs w:val="20"/>
          <w:color w:val="auto"/>
        </w:rPr>
      </w:pPr>
      <w:r>
        <w:rPr>
          <w:rFonts w:ascii="Times New Roman" w:cs="Times New Roman" w:eastAsia="Times New Roman" w:hAnsi="Times New Roman"/>
          <w:sz w:val="14"/>
          <w:szCs w:val="14"/>
          <w:color w:val="auto"/>
        </w:rPr>
        <w:t>L/C Issuer as herein provided, or that the total amount of such Cash Collateral is less than the Minimum Collateral Amount, Borrowers will, promptly upon demand by Administrative Agent, pay or provide to Administrative Agent additional Cash Collateral in an amount sufficient to eliminate such deficiency. All Cash Collateral (other than credit support not constituting funds subject to deposit) shall be maintained in one or more blocked, non-interest bearing deposit accounts at Texas Capital Bank. Borrowers shall pay on demand therefor from time to time all customary account opening, activity and other administrative fees and charges in connection with the maintenance and disbursement of Cash Collateral.</w:t>
      </w:r>
    </w:p>
    <w:p>
      <w:pPr>
        <w:spacing w:after="0" w:line="166" w:lineRule="exact"/>
        <w:rPr>
          <w:sz w:val="20"/>
          <w:szCs w:val="20"/>
          <w:color w:val="auto"/>
        </w:rPr>
      </w:pPr>
    </w:p>
    <w:p>
      <w:pPr>
        <w:jc w:val="both"/>
        <w:ind w:left="440" w:firstLine="428"/>
        <w:spacing w:after="0" w:line="252" w:lineRule="auto"/>
        <w:tabs>
          <w:tab w:leader="none" w:pos="1168" w:val="left"/>
        </w:tabs>
        <w:numPr>
          <w:ilvl w:val="1"/>
          <w:numId w:val="1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Application</w:t>
      </w:r>
      <w:r>
        <w:rPr>
          <w:rFonts w:ascii="Times New Roman" w:cs="Times New Roman" w:eastAsia="Times New Roman" w:hAnsi="Times New Roman"/>
          <w:sz w:val="14"/>
          <w:szCs w:val="14"/>
          <w:color w:val="auto"/>
        </w:rPr>
        <w:t>. Notwithstanding anything to the contrary contained in this Agreement, Cash Collateral provided under any 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2.7</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Sections 2.2</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9.2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11.21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ind w:left="1200" w:hanging="332"/>
        <w:spacing w:after="0"/>
        <w:tabs>
          <w:tab w:leader="none" w:pos="1200" w:val="left"/>
        </w:tabs>
        <w:numPr>
          <w:ilvl w:val="1"/>
          <w:numId w:val="1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Release</w:t>
      </w:r>
      <w:r>
        <w:rPr>
          <w:rFonts w:ascii="Times New Roman" w:cs="Times New Roman" w:eastAsia="Times New Roman" w:hAnsi="Times New Roman"/>
          <w:sz w:val="14"/>
          <w:szCs w:val="14"/>
          <w:color w:val="auto"/>
        </w:rPr>
        <w:t>. Cash Collateral (or the appropriate portion thereof) provided to reduce Fronting Exposure or to secure other obligations shall be released promptly following</w:t>
      </w:r>
    </w:p>
    <w:p>
      <w:pPr>
        <w:spacing w:after="0" w:line="19" w:lineRule="exact"/>
        <w:rPr>
          <w:rFonts w:ascii="Times New Roman" w:cs="Times New Roman" w:eastAsia="Times New Roman" w:hAnsi="Times New Roman"/>
          <w:sz w:val="14"/>
          <w:szCs w:val="14"/>
          <w:b w:val="1"/>
          <w:bCs w:val="1"/>
          <w:color w:val="auto"/>
        </w:rPr>
      </w:pPr>
    </w:p>
    <w:p>
      <w:pPr>
        <w:jc w:val="both"/>
        <w:ind w:left="440" w:hanging="4"/>
        <w:spacing w:after="0" w:line="245" w:lineRule="auto"/>
        <w:tabs>
          <w:tab w:leader="none" w:pos="614"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4"/>
          <w:szCs w:val="14"/>
          <w:b w:val="1"/>
          <w:bCs w:val="1"/>
          <w:i w:val="1"/>
          <w:iCs w:val="1"/>
          <w:color w:val="auto"/>
        </w:rPr>
        <w:t>Section 11.8(b)(vii)</w:t>
      </w:r>
      <w:r>
        <w:rPr>
          <w:rFonts w:ascii="Times New Roman" w:cs="Times New Roman" w:eastAsia="Times New Roman" w:hAnsi="Times New Roman"/>
          <w:sz w:val="14"/>
          <w:szCs w:val="14"/>
          <w:color w:val="auto"/>
        </w:rPr>
        <w:t xml:space="preserve">) or (ii) the determination by Administrative Agent and L/C Issuer that there exists excess Cash Collateral;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(x) any such release shall be without prejudice to, and any disbursement or other transfer of Cash Collateral shall be and remain subject to, any other Lien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conferred under the Loan Documents and the other applicable provisions of the Loan Documents, and (y) the Person providing Cash Collateral and L/C Issuer may agree that Cash Collateral shall not be released but instead held to support future anticipated Fronting Exposure or other obligations.</w:t>
      </w:r>
    </w:p>
    <w:p>
      <w:pPr>
        <w:spacing w:after="0" w:line="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color w:val="auto"/>
        </w:rPr>
        <w:t>Section 2.8</w:t>
      </w:r>
      <w:r>
        <w:rPr>
          <w:sz w:val="20"/>
          <w:szCs w:val="20"/>
          <w:color w:val="auto"/>
        </w:rPr>
        <w:tab/>
      </w:r>
      <w:r>
        <w:rPr>
          <w:rFonts w:ascii="Times New Roman" w:cs="Times New Roman" w:eastAsia="Times New Roman" w:hAnsi="Times New Roman"/>
          <w:sz w:val="14"/>
          <w:szCs w:val="14"/>
          <w:b w:val="1"/>
          <w:bCs w:val="1"/>
          <w:u w:val="single" w:color="auto"/>
          <w:color w:val="auto"/>
        </w:rPr>
        <w:t>Interest; Payment Terms.</w:t>
      </w:r>
    </w:p>
    <w:p>
      <w:pPr>
        <w:spacing w:after="0" w:line="37" w:lineRule="exact"/>
        <w:rPr>
          <w:sz w:val="20"/>
          <w:szCs w:val="20"/>
          <w:color w:val="auto"/>
        </w:rPr>
      </w:pPr>
    </w:p>
    <w:p>
      <w:pPr>
        <w:jc w:val="both"/>
        <w:ind w:left="440" w:firstLine="428"/>
        <w:spacing w:after="0" w:line="244" w:lineRule="auto"/>
        <w:tabs>
          <w:tab w:leader="none" w:pos="1212" w:val="left"/>
        </w:tabs>
        <w:numPr>
          <w:ilvl w:val="0"/>
          <w:numId w:val="1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Revolving Credit Loans – Payment of Principal and Interest; Revolving Nature</w:t>
      </w:r>
      <w:r>
        <w:rPr>
          <w:rFonts w:ascii="Times New Roman" w:cs="Times New Roman" w:eastAsia="Times New Roman" w:hAnsi="Times New Roman"/>
          <w:sz w:val="14"/>
          <w:szCs w:val="14"/>
          <w:color w:val="auto"/>
        </w:rPr>
        <w:t>. The unpaid principal amount of each Borrowing of the Revolving Credit Loans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shall, subject to the following sentence and </w:t>
      </w:r>
      <w:r>
        <w:rPr>
          <w:rFonts w:ascii="Times New Roman" w:cs="Times New Roman" w:eastAsia="Times New Roman" w:hAnsi="Times New Roman"/>
          <w:sz w:val="14"/>
          <w:szCs w:val="14"/>
          <w:b w:val="1"/>
          <w:bCs w:val="1"/>
          <w:i w:val="1"/>
          <w:iCs w:val="1"/>
          <w:color w:val="auto"/>
        </w:rPr>
        <w:t>Section 2.8(e)</w:t>
      </w:r>
      <w:r>
        <w:rPr>
          <w:rFonts w:ascii="Times New Roman" w:cs="Times New Roman" w:eastAsia="Times New Roman" w:hAnsi="Times New Roman"/>
          <w:sz w:val="14"/>
          <w:szCs w:val="14"/>
          <w:color w:val="auto"/>
        </w:rPr>
        <w:t xml:space="preserve">, bear interest at the Applicable Rate. If at any time such rate of interest would exceed the Maximum Rate but for the provisions thereof limiting interest to the Maximum Rate, then any subsequent reduction shall not reduce the rate of interest on the Revolving Credit Loans below the Maximum Rate until the aggregate amount of interest accrued on the Revolving Credit Loans equals the aggregate amount of interest which would have accrued on the Revolving Credit Loans if the interest rate had not been limited by the Maximum Rate. All accrued but unpaid interest on the principal balance of the Revolving Credit Loans shall be payable on each Payment Date and on the Maturity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interest accruing at the Default Interest Rate pursuant to </w:t>
      </w:r>
      <w:r>
        <w:rPr>
          <w:rFonts w:ascii="Times New Roman" w:cs="Times New Roman" w:eastAsia="Times New Roman" w:hAnsi="Times New Roman"/>
          <w:sz w:val="14"/>
          <w:szCs w:val="14"/>
          <w:b w:val="1"/>
          <w:bCs w:val="1"/>
          <w:i w:val="1"/>
          <w:iCs w:val="1"/>
          <w:color w:val="auto"/>
        </w:rPr>
        <w:t>Section 2.8(e)</w:t>
      </w:r>
      <w:r>
        <w:rPr>
          <w:rFonts w:ascii="Times New Roman" w:cs="Times New Roman" w:eastAsia="Times New Roman" w:hAnsi="Times New Roman"/>
          <w:sz w:val="14"/>
          <w:szCs w:val="14"/>
          <w:color w:val="auto"/>
        </w:rPr>
        <w:t xml:space="preserve"> shall be payable on demand. The then Outstanding Amount of the Revolving Credit Loans and all accrued but unpaid interest thereon shall be due and payable on the Maturity Date. The then Outstanding Amount of the Swing Line Loans and all accrued but unpaid interest thereon shall be due and payable on the earlier of the Maturity Date and the fifth Business Day after such Swing Line Loan is made. The unpaid principal balance of the Revolving Credit Loans at any time shall be the total amount advanced hereunder by Lenders less the amount of principal payments made thereon by or for Borrowers, which balance may be endorsed on the Notes from time to time by Lenders or Swing Line Lender, as applicable, or otherwise noted in Lenders’, Swing Line Lender’s and/or Administrative Agent’s records, which notations shall be,</w:t>
      </w:r>
    </w:p>
    <w:p>
      <w:pPr>
        <w:spacing w:after="0" w:line="38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880"/>
          </w:cols>
          <w:pgMar w:left="720" w:top="287" w:right="29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absent manifest error, conclusive evidence of the amounts owing hereunder from time to time.</w:t>
      </w:r>
    </w:p>
    <w:p>
      <w:pPr>
        <w:spacing w:after="0" w:line="35" w:lineRule="exact"/>
        <w:rPr>
          <w:sz w:val="20"/>
          <w:szCs w:val="20"/>
          <w:color w:val="auto"/>
        </w:rPr>
      </w:pPr>
    </w:p>
    <w:p>
      <w:pPr>
        <w:jc w:val="both"/>
        <w:ind w:firstLine="428"/>
        <w:spacing w:after="0" w:line="247" w:lineRule="auto"/>
        <w:tabs>
          <w:tab w:leader="none" w:pos="766" w:val="left"/>
        </w:tabs>
        <w:numPr>
          <w:ilvl w:val="0"/>
          <w:numId w:val="1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Computation Period</w:t>
      </w:r>
      <w:r>
        <w:rPr>
          <w:rFonts w:ascii="Times New Roman" w:cs="Times New Roman" w:eastAsia="Times New Roman" w:hAnsi="Times New Roman"/>
          <w:sz w:val="14"/>
          <w:szCs w:val="14"/>
          <w:color w:val="auto"/>
        </w:rPr>
        <w:t>. Interest on the Loans and all other amounts payable by Borrowers hereunder on a per annum basis shall be computed on the basis of a 360-day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year and the actual number of days elapsed (including the first day but excluding the last day) unless such calculation would result in a usurious rate or to the extent such Loan bears interest based upon the Base Rate, in which case interest shall be calculated on the basis of a 365-day year or 366-day year, as the case may be. In computing the number of days during which interest accrues, the day on which funds are initially advanced shall be included regardless of the time of day such advance is made, and the day on which funds are repaid shall be included unless repayment is credited prior to the close of business on the Business Day received. Each determination by Administrative Agent of an interest rate or fee hereunder shall be conclusive and binding for all purposes, absent manifest error.</w:t>
      </w:r>
    </w:p>
    <w:p>
      <w:pPr>
        <w:spacing w:after="0" w:line="4" w:lineRule="exact"/>
        <w:rPr>
          <w:rFonts w:ascii="Times New Roman" w:cs="Times New Roman" w:eastAsia="Times New Roman" w:hAnsi="Times New Roman"/>
          <w:sz w:val="14"/>
          <w:szCs w:val="14"/>
          <w:b w:val="1"/>
          <w:bCs w:val="1"/>
          <w:color w:val="auto"/>
        </w:rPr>
      </w:pPr>
    </w:p>
    <w:p>
      <w:pPr>
        <w:jc w:val="both"/>
        <w:ind w:firstLine="428"/>
        <w:spacing w:after="0" w:line="249" w:lineRule="auto"/>
        <w:tabs>
          <w:tab w:leader="none" w:pos="757" w:val="left"/>
        </w:tabs>
        <w:numPr>
          <w:ilvl w:val="0"/>
          <w:numId w:val="1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Unconditional Payment</w:t>
      </w:r>
      <w:r>
        <w:rPr>
          <w:rFonts w:ascii="Times New Roman" w:cs="Times New Roman" w:eastAsia="Times New Roman" w:hAnsi="Times New Roman"/>
          <w:sz w:val="14"/>
          <w:szCs w:val="14"/>
          <w:color w:val="auto"/>
        </w:rPr>
        <w:t>. Each Borrower is and shall be obligated to pay all principal, interest and any and all other amounts which become payable under any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Loan Documents absolutely and unconditionally and without any abatement, postponement, diminution or deduction whatsoever and without any reduction for counterclaim or setoff whatsoever. If at any time any payment received by Administrative Agent hereunder shall be deemed by a court of competent jurisdiction to have been a voidable preference or fraudulent conveyance under any Debtor Relief Law, then the obligation to make such payment shall survive any cancellation or satisfaction of the Obligations under the Loan Documents and shall not be discharged or satisfied with any prior payment thereof or cancellation of such Obligations, but shall remain a valid and binding obligation enforceable in accordance with the terms and provisions hereof, and such payment shall be immediately due and payable upon demand.</w:t>
      </w:r>
    </w:p>
    <w:p>
      <w:pPr>
        <w:spacing w:after="0" w:line="3" w:lineRule="exact"/>
        <w:rPr>
          <w:rFonts w:ascii="Times New Roman" w:cs="Times New Roman" w:eastAsia="Times New Roman" w:hAnsi="Times New Roman"/>
          <w:sz w:val="14"/>
          <w:szCs w:val="14"/>
          <w:b w:val="1"/>
          <w:bCs w:val="1"/>
          <w:color w:val="auto"/>
        </w:rPr>
      </w:pPr>
    </w:p>
    <w:p>
      <w:pPr>
        <w:jc w:val="both"/>
        <w:ind w:firstLine="428"/>
        <w:spacing w:after="0" w:line="245" w:lineRule="auto"/>
        <w:tabs>
          <w:tab w:leader="none" w:pos="814" w:val="left"/>
        </w:tabs>
        <w:numPr>
          <w:ilvl w:val="0"/>
          <w:numId w:val="1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Partial or Incomplete Payments</w:t>
      </w:r>
      <w:r>
        <w:rPr>
          <w:rFonts w:ascii="Times New Roman" w:cs="Times New Roman" w:eastAsia="Times New Roman" w:hAnsi="Times New Roman"/>
          <w:sz w:val="14"/>
          <w:szCs w:val="14"/>
          <w:color w:val="auto"/>
        </w:rPr>
        <w:t>.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9.3</w:t>
      </w:r>
      <w:r>
        <w:rPr>
          <w:rFonts w:ascii="Times New Roman" w:cs="Times New Roman" w:eastAsia="Times New Roman" w:hAnsi="Times New Roman"/>
          <w:sz w:val="14"/>
          <w:szCs w:val="14"/>
          <w:color w:val="auto"/>
        </w:rPr>
        <w:t>, if at any time insufficient funds are received by and available to Administrative Agent to pay fully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amounts of principal, L/C Borrowings, Swing Line Loans, interest, fees and other amounts then due hereunder, such funds shall be applied (i) </w:t>
      </w:r>
      <w:r>
        <w:rPr>
          <w:rFonts w:ascii="Times New Roman" w:cs="Times New Roman" w:eastAsia="Times New Roman" w:hAnsi="Times New Roman"/>
          <w:sz w:val="14"/>
          <w:szCs w:val="14"/>
          <w:i w:val="1"/>
          <w:iCs w:val="1"/>
          <w:color w:val="auto"/>
        </w:rPr>
        <w:t>first</w:t>
      </w:r>
      <w:r>
        <w:rPr>
          <w:rFonts w:ascii="Times New Roman" w:cs="Times New Roman" w:eastAsia="Times New Roman" w:hAnsi="Times New Roman"/>
          <w:sz w:val="14"/>
          <w:szCs w:val="14"/>
          <w:color w:val="auto"/>
        </w:rPr>
        <w:t xml:space="preserve">, to pay interest, fees and other amounts then due hereunder, ratably among the parties entitled thereto in accordance with the amounts of interest, fees and other amounts then due to such parties, and (ii) </w:t>
      </w:r>
      <w:r>
        <w:rPr>
          <w:rFonts w:ascii="Times New Roman" w:cs="Times New Roman" w:eastAsia="Times New Roman" w:hAnsi="Times New Roman"/>
          <w:sz w:val="14"/>
          <w:szCs w:val="14"/>
          <w:i w:val="1"/>
          <w:iCs w:val="1"/>
          <w:color w:val="auto"/>
        </w:rPr>
        <w:t>second</w:t>
      </w:r>
      <w:r>
        <w:rPr>
          <w:rFonts w:ascii="Times New Roman" w:cs="Times New Roman" w:eastAsia="Times New Roman" w:hAnsi="Times New Roman"/>
          <w:sz w:val="14"/>
          <w:szCs w:val="14"/>
          <w:color w:val="auto"/>
        </w:rPr>
        <w:t>, to pay principal, Swing Line Loans and L/C Borrowings then due hereunder, ratably among the parties entitled thereto in accordance with the amounts of principal or L/C Borrowings, as applicable, then due to such parties. Remittances in payment of any part of the Obligations under the Loan Documents other than in the required amount in immediately available funds at the place where such Obligations are payable shall not, regardless of any receipt or credit issued therefor, constitute payment until the required amount is actually received by Administrative Agent in full in accordance herewith and shall be made and accepted subject to the condition that any check or draft may be handled for collection in accordance with the practice of the collecting bank or banks. Acceptance by Administrative Agent of any payment in an amount less than the full amount then due shall be deemed an acceptance on account only, and the failure to pay the entire amount then due shall be and continue to be an Event of Default.</w:t>
      </w:r>
    </w:p>
    <w:p>
      <w:pPr>
        <w:spacing w:after="0" w:line="7" w:lineRule="exact"/>
        <w:rPr>
          <w:rFonts w:ascii="Times New Roman" w:cs="Times New Roman" w:eastAsia="Times New Roman" w:hAnsi="Times New Roman"/>
          <w:sz w:val="14"/>
          <w:szCs w:val="14"/>
          <w:b w:val="1"/>
          <w:bCs w:val="1"/>
          <w:color w:val="auto"/>
        </w:rPr>
      </w:pPr>
    </w:p>
    <w:p>
      <w:pPr>
        <w:jc w:val="both"/>
        <w:ind w:firstLine="428"/>
        <w:spacing w:after="0" w:line="256" w:lineRule="auto"/>
        <w:tabs>
          <w:tab w:leader="none" w:pos="736" w:val="left"/>
        </w:tabs>
        <w:numPr>
          <w:ilvl w:val="0"/>
          <w:numId w:val="1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Default Interest Rate</w:t>
      </w:r>
      <w:r>
        <w:rPr>
          <w:rFonts w:ascii="Times New Roman" w:cs="Times New Roman" w:eastAsia="Times New Roman" w:hAnsi="Times New Roman"/>
          <w:sz w:val="14"/>
          <w:szCs w:val="14"/>
          <w:color w:val="auto"/>
        </w:rPr>
        <w:t>. For so long as any Event of Default has occurred and is continuing, regardless of whether or not there has been an acceleration of the Loans,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at all times after the maturity of the Loans (whether by acceleration or otherwise), and in addition to all other rights and remedies of Administrative Agent or Lenders hereunder, (i) interest shall accrue on the Outstanding Amount of the Loans at the Default Interest Rate, (ii) interest shall accrue on any past due amount (other than the Outstanding Amount of the Loans) at the Default Interest Rate and (iii) upon the request of the Required Lenders, interest shall accrue on the principal amount of all other outstanding Obligations</w:t>
      </w:r>
    </w:p>
    <w:p>
      <w:pPr>
        <w:spacing w:after="0" w:line="36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440"/>
          </w:cols>
          <w:pgMar w:left="1160" w:top="287" w:right="29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4"/>
          <w:szCs w:val="14"/>
          <w:color w:val="auto"/>
        </w:rPr>
        <w:t>at the Default Interest Rate, and such accrued interest shall be immediately due and payable. Each Borrower acknowledges that it would be extremely difficult or impracticable to determine Administrative Agent’s or Lenders’ actual damages resulting from any late payment or Event of Default, and such accrued interest are reasonable estimates of those damages and do not constitute a penalty.</w:t>
      </w:r>
    </w:p>
    <w:p>
      <w:pPr>
        <w:spacing w:after="0" w:line="1" w:lineRule="exact"/>
        <w:rPr>
          <w:sz w:val="20"/>
          <w:szCs w:val="20"/>
          <w:color w:val="auto"/>
        </w:rPr>
      </w:pPr>
    </w:p>
    <w:p>
      <w:pPr>
        <w:jc w:val="both"/>
        <w:ind w:left="440" w:firstLine="428"/>
        <w:spacing w:after="0" w:line="251" w:lineRule="auto"/>
        <w:tabs>
          <w:tab w:leader="none" w:pos="1193" w:val="left"/>
        </w:tabs>
        <w:numPr>
          <w:ilvl w:val="0"/>
          <w:numId w:val="1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Term SOFR Conforming Changes</w:t>
      </w:r>
      <w:r>
        <w:rPr>
          <w:rFonts w:ascii="Times New Roman" w:cs="Times New Roman" w:eastAsia="Times New Roman" w:hAnsi="Times New Roman"/>
          <w:sz w:val="14"/>
          <w:szCs w:val="14"/>
          <w:color w:val="auto"/>
        </w:rPr>
        <w:t>. In connection with the use or administration of Term SOFR, the Administrative Agent will have the right to make Conforming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Representative and the Lenders of the effectiveness of any Conforming Changes in connection with the use or administration of Term SOFR.</w:t>
      </w:r>
    </w:p>
    <w:p>
      <w:pPr>
        <w:spacing w:after="0" w:line="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color w:val="auto"/>
        </w:rPr>
        <w:t>Section 2.9</w:t>
        <w:tab/>
        <w:t>Voluntary Termination or Reduction of Commitments; Prepayments .</w:t>
      </w:r>
    </w:p>
    <w:p>
      <w:pPr>
        <w:spacing w:after="0" w:line="35" w:lineRule="exact"/>
        <w:rPr>
          <w:sz w:val="20"/>
          <w:szCs w:val="20"/>
          <w:color w:val="auto"/>
        </w:rPr>
      </w:pPr>
    </w:p>
    <w:p>
      <w:pPr>
        <w:jc w:val="both"/>
        <w:ind w:left="440" w:firstLine="428"/>
        <w:spacing w:after="0" w:line="247" w:lineRule="auto"/>
        <w:tabs>
          <w:tab w:leader="none" w:pos="1345" w:val="left"/>
        </w:tabs>
        <w:numPr>
          <w:ilvl w:val="0"/>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Voluntary Termination or Reduction of Commitments</w:t>
      </w:r>
      <w:r>
        <w:rPr>
          <w:rFonts w:ascii="Times New Roman" w:cs="Times New Roman" w:eastAsia="Times New Roman" w:hAnsi="Times New Roman"/>
          <w:sz w:val="14"/>
          <w:szCs w:val="14"/>
          <w:color w:val="auto"/>
        </w:rPr>
        <w:t>. The Borrower Representative may, upon written notice to Administrative Agent, terminate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Commitments, or from time to time permanently reduce the Commitments;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 any such notice shall be received by Administrative Agent not later than 11:00 a.m. three (3) Business Days prior to the date of termination or reduction, (ii) any such partial reduction shall be in an aggregate amount of $5,000,000 or any whole multiple of $1,000,000 in excess thereof, (iii) the Borrower Representative shall not terminate or reduce the Commitments if, immediately after giving effect thereto and to any concurrent prepayments hereunder, the Revolving Credit Exposure of all Lenders would exceed the Line Cap in effect at such time and (iv) if, immediately after giving effect to any reduction of the Commitments, the Letter of Credit Sublimit or Swing Line Sublimit exceeds the amount of the Revolving Credit Facility, such sublimit shall be automatically reduced by the amount of such excess. Administrative Agent will promptly notify Lenders of any such notice of termination or reduction of the Commitments. Any reduction of the Commitments shall be applied to the Commitment of each Lender according to its Applicable Percentage. All fees accrued until the effective date of any termination of the Commitments shall be paid on the effective date of such termination.</w:t>
      </w:r>
    </w:p>
    <w:p>
      <w:pPr>
        <w:spacing w:after="0" w:line="160" w:lineRule="exact"/>
        <w:rPr>
          <w:rFonts w:ascii="Times New Roman" w:cs="Times New Roman" w:eastAsia="Times New Roman" w:hAnsi="Times New Roman"/>
          <w:sz w:val="14"/>
          <w:szCs w:val="14"/>
          <w:b w:val="1"/>
          <w:bCs w:val="1"/>
          <w:color w:val="auto"/>
        </w:rPr>
      </w:pPr>
    </w:p>
    <w:p>
      <w:pPr>
        <w:jc w:val="both"/>
        <w:ind w:left="440" w:firstLine="428"/>
        <w:spacing w:after="0" w:line="249" w:lineRule="auto"/>
        <w:tabs>
          <w:tab w:leader="none" w:pos="1211" w:val="left"/>
        </w:tabs>
        <w:numPr>
          <w:ilvl w:val="0"/>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Voluntary Prepayments</w:t>
      </w:r>
      <w:r>
        <w:rPr>
          <w:rFonts w:ascii="Times New Roman" w:cs="Times New Roman" w:eastAsia="Times New Roman" w:hAnsi="Times New Roman"/>
          <w:sz w:val="14"/>
          <w:szCs w:val="14"/>
          <w:color w:val="auto"/>
        </w:rPr>
        <w:t>. Subject to the conditions set forth below, Borrowers shall have the right, at any time and from time to time upon at least three (3) Business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Days prior written notice to Administrative Agent (and, in the case of prepayment of the Swing Line Loans, the Swing Line Lender), to prepay the principal of the Revolving Credit Loans or the Swing Line Loans in full or in part. If there is a prepayment of all or any portion of the principal of the Revolving Credit Loans or the Swing Line Loans on or before the Maturity Date, whether voluntary or because of acceleration or otherwise, such prepayment shall also include any and all accrued but unpaid interest on the amount of principal being so prepaid through and including the date of prepayment, plus any other sums which have become due to Lenders under the other Loan Documents on or before the date of prepayment, but which have not been fully paid.</w:t>
      </w:r>
    </w:p>
    <w:p>
      <w:pPr>
        <w:spacing w:after="0" w:line="4" w:lineRule="exact"/>
        <w:rPr>
          <w:rFonts w:ascii="Times New Roman" w:cs="Times New Roman" w:eastAsia="Times New Roman" w:hAnsi="Times New Roman"/>
          <w:sz w:val="14"/>
          <w:szCs w:val="14"/>
          <w:b w:val="1"/>
          <w:bCs w:val="1"/>
          <w:color w:val="auto"/>
        </w:rPr>
      </w:pPr>
    </w:p>
    <w:p>
      <w:pPr>
        <w:ind w:left="440" w:right="20" w:firstLine="428"/>
        <w:spacing w:after="0" w:line="269" w:lineRule="auto"/>
        <w:tabs>
          <w:tab w:leader="none" w:pos="1260" w:val="left"/>
        </w:tabs>
        <w:numPr>
          <w:ilvl w:val="0"/>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Mandatory Prepayment of Revolving Credit Facility</w:t>
      </w:r>
      <w:r>
        <w:rPr>
          <w:rFonts w:ascii="Times New Roman" w:cs="Times New Roman" w:eastAsia="Times New Roman" w:hAnsi="Times New Roman"/>
          <w:sz w:val="14"/>
          <w:szCs w:val="14"/>
          <w:color w:val="auto"/>
        </w:rPr>
        <w:t>. Borrowers shall make a prepayment of the Revolving Credit Loans or the Swing Line Loans upon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occurrence of any of the following:</w:t>
      </w:r>
    </w:p>
    <w:p>
      <w:pPr>
        <w:spacing w:after="0" w:line="1" w:lineRule="exact"/>
        <w:rPr>
          <w:sz w:val="20"/>
          <w:szCs w:val="20"/>
          <w:color w:val="auto"/>
        </w:rPr>
      </w:pPr>
    </w:p>
    <w:p>
      <w:pPr>
        <w:jc w:val="both"/>
        <w:ind w:left="440" w:right="20" w:firstLine="428"/>
        <w:spacing w:after="0" w:line="255" w:lineRule="auto"/>
        <w:tabs>
          <w:tab w:leader="none" w:pos="1163"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at any time the Revolving Credit Exposure of the Lenders exceeds the Line Cap in effect at such time, then Borrowers shall immediately prepay the entire amount of such excess to Administrative Agent, for the ratable account of Lenders, and/or Cash Collateralize the L/C Obligations in an aggregate amount equal to such excess;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Borrower shall be required to Cash Collateralize the L/C Obligations pursuant to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i w:val="1"/>
          <w:iCs w:val="1"/>
          <w:color w:val="auto"/>
        </w:rPr>
        <w:t>Section 2.9(c)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unless after the prepayment in full of the Revolving Credit</w:t>
      </w:r>
    </w:p>
    <w:p>
      <w:pPr>
        <w:spacing w:after="0" w:line="37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880"/>
          </w:cols>
          <w:pgMar w:left="720" w:top="287" w:right="29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Loans and Swing Line Loans the Revolving Credit Exposure of the Lenders exceeds the Line Cap in effect at such time.</w:t>
      </w:r>
    </w:p>
    <w:p>
      <w:pPr>
        <w:spacing w:after="0" w:line="33" w:lineRule="exact"/>
        <w:rPr>
          <w:sz w:val="20"/>
          <w:szCs w:val="20"/>
          <w:color w:val="auto"/>
        </w:rPr>
      </w:pPr>
    </w:p>
    <w:p>
      <w:pPr>
        <w:ind w:left="1720" w:firstLine="432"/>
        <w:spacing w:after="0" w:line="268" w:lineRule="auto"/>
        <w:tabs>
          <w:tab w:leader="none" w:pos="2484"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Concurrently with the receipt by any Loan Party of any Net Cash Proceeds from a Disposition not permitted by </w:t>
      </w:r>
      <w:r>
        <w:rPr>
          <w:rFonts w:ascii="Times New Roman" w:cs="Times New Roman" w:eastAsia="Times New Roman" w:hAnsi="Times New Roman"/>
          <w:sz w:val="14"/>
          <w:szCs w:val="14"/>
          <w:b w:val="1"/>
          <w:bCs w:val="1"/>
          <w:i w:val="1"/>
          <w:iCs w:val="1"/>
          <w:color w:val="auto"/>
        </w:rPr>
        <w:t>Section 7.8</w:t>
      </w:r>
      <w:r>
        <w:rPr>
          <w:rFonts w:ascii="Times New Roman" w:cs="Times New Roman" w:eastAsia="Times New Roman" w:hAnsi="Times New Roman"/>
          <w:sz w:val="14"/>
          <w:szCs w:val="14"/>
          <w:color w:val="auto"/>
        </w:rPr>
        <w:t>, the Borrowers shall prepay the Loans in an amount equal to 100% of such Net Cash Proceeds.</w:t>
      </w:r>
    </w:p>
    <w:p>
      <w:pPr>
        <w:ind w:left="1720" w:firstLine="432"/>
        <w:spacing w:after="0" w:line="268" w:lineRule="auto"/>
        <w:tabs>
          <w:tab w:leader="none" w:pos="2513"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Concurrently with the receipt by any Loan Party of any Net Cash Proceeds from the incurrence of any Debt not permitted by </w:t>
      </w:r>
      <w:r>
        <w:rPr>
          <w:rFonts w:ascii="Times New Roman" w:cs="Times New Roman" w:eastAsia="Times New Roman" w:hAnsi="Times New Roman"/>
          <w:sz w:val="14"/>
          <w:szCs w:val="14"/>
          <w:b w:val="1"/>
          <w:bCs w:val="1"/>
          <w:i w:val="1"/>
          <w:iCs w:val="1"/>
          <w:color w:val="auto"/>
        </w:rPr>
        <w:t>Section 7.1</w:t>
      </w:r>
      <w:r>
        <w:rPr>
          <w:rFonts w:ascii="Times New Roman" w:cs="Times New Roman" w:eastAsia="Times New Roman" w:hAnsi="Times New Roman"/>
          <w:sz w:val="14"/>
          <w:szCs w:val="14"/>
          <w:color w:val="auto"/>
        </w:rPr>
        <w:t>, the Borrowers shall prepay the Loans in an amount equal to 100% of such Net Cash Proceeds.</w:t>
      </w: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Each prepayment required by this </w:t>
      </w:r>
      <w:r>
        <w:rPr>
          <w:rFonts w:ascii="Times New Roman" w:cs="Times New Roman" w:eastAsia="Times New Roman" w:hAnsi="Times New Roman"/>
          <w:sz w:val="14"/>
          <w:szCs w:val="14"/>
          <w:b w:val="1"/>
          <w:bCs w:val="1"/>
          <w:i w:val="1"/>
          <w:iCs w:val="1"/>
          <w:color w:val="auto"/>
        </w:rPr>
        <w:t>Section 2.9(c)</w:t>
      </w:r>
      <w:r>
        <w:rPr>
          <w:rFonts w:ascii="Times New Roman" w:cs="Times New Roman" w:eastAsia="Times New Roman" w:hAnsi="Times New Roman"/>
          <w:sz w:val="14"/>
          <w:szCs w:val="14"/>
          <w:color w:val="auto"/>
        </w:rPr>
        <w:t xml:space="preserve"> shall be applied, </w:t>
      </w:r>
      <w:r>
        <w:rPr>
          <w:rFonts w:ascii="Times New Roman" w:cs="Times New Roman" w:eastAsia="Times New Roman" w:hAnsi="Times New Roman"/>
          <w:sz w:val="14"/>
          <w:szCs w:val="14"/>
          <w:i w:val="1"/>
          <w:iCs w:val="1"/>
          <w:color w:val="auto"/>
        </w:rPr>
        <w:t>first</w:t>
      </w:r>
      <w:r>
        <w:rPr>
          <w:rFonts w:ascii="Times New Roman" w:cs="Times New Roman" w:eastAsia="Times New Roman" w:hAnsi="Times New Roman"/>
          <w:sz w:val="14"/>
          <w:szCs w:val="14"/>
          <w:color w:val="auto"/>
        </w:rPr>
        <w:t xml:space="preserve">, to any Swing Line Loans then outstanding, </w:t>
      </w:r>
      <w:r>
        <w:rPr>
          <w:rFonts w:ascii="Times New Roman" w:cs="Times New Roman" w:eastAsia="Times New Roman" w:hAnsi="Times New Roman"/>
          <w:sz w:val="14"/>
          <w:szCs w:val="14"/>
          <w:i w:val="1"/>
          <w:iCs w:val="1"/>
          <w:color w:val="auto"/>
        </w:rPr>
        <w:t>second</w:t>
      </w:r>
      <w:r>
        <w:rPr>
          <w:rFonts w:ascii="Times New Roman" w:cs="Times New Roman" w:eastAsia="Times New Roman" w:hAnsi="Times New Roman"/>
          <w:sz w:val="14"/>
          <w:szCs w:val="14"/>
          <w:color w:val="auto"/>
        </w:rPr>
        <w:t xml:space="preserve">, to any Base Rate Borrowings then outstanding, and, </w:t>
      </w:r>
      <w:r>
        <w:rPr>
          <w:rFonts w:ascii="Times New Roman" w:cs="Times New Roman" w:eastAsia="Times New Roman" w:hAnsi="Times New Roman"/>
          <w:sz w:val="14"/>
          <w:szCs w:val="14"/>
          <w:i w:val="1"/>
          <w:iCs w:val="1"/>
          <w:color w:val="auto"/>
        </w:rPr>
        <w:t>third</w:t>
      </w:r>
      <w:r>
        <w:rPr>
          <w:rFonts w:ascii="Times New Roman" w:cs="Times New Roman" w:eastAsia="Times New Roman" w:hAnsi="Times New Roman"/>
          <w:sz w:val="14"/>
          <w:szCs w:val="14"/>
          <w:color w:val="auto"/>
        </w:rPr>
        <w:t>, to any Term SOFR Borrowings then outstanding, and if more than one (1) Term SOFR Borrowing is then outstanding, to such Term SOFR Borrowings in such order as the Borrower Representative may direct, or if the Borrower Representative fails to so direct, as Administrative Agent shall elect.</w:t>
      </w:r>
    </w:p>
    <w:p>
      <w:pPr>
        <w:spacing w:after="0" w:line="2"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2.10</w:t>
      </w:r>
      <w:r>
        <w:rPr>
          <w:sz w:val="20"/>
          <w:szCs w:val="20"/>
          <w:color w:val="auto"/>
        </w:rPr>
        <w:tab/>
      </w:r>
      <w:r>
        <w:rPr>
          <w:rFonts w:ascii="Times New Roman" w:cs="Times New Roman" w:eastAsia="Times New Roman" w:hAnsi="Times New Roman"/>
          <w:sz w:val="14"/>
          <w:szCs w:val="14"/>
          <w:b w:val="1"/>
          <w:bCs w:val="1"/>
          <w:u w:val="single" w:color="auto"/>
          <w:color w:val="auto"/>
        </w:rPr>
        <w:t>Uncommitted Increase in Revolving Credit Commitments.</w:t>
      </w:r>
    </w:p>
    <w:p>
      <w:pPr>
        <w:spacing w:after="0" w:line="37" w:lineRule="exact"/>
        <w:rPr>
          <w:sz w:val="20"/>
          <w:szCs w:val="20"/>
          <w:color w:val="auto"/>
        </w:rPr>
      </w:pPr>
    </w:p>
    <w:p>
      <w:pPr>
        <w:jc w:val="both"/>
        <w:ind w:left="860" w:firstLine="428"/>
        <w:spacing w:after="0" w:line="246" w:lineRule="auto"/>
        <w:tabs>
          <w:tab w:leader="none" w:pos="1628" w:val="left"/>
        </w:tabs>
        <w:numPr>
          <w:ilvl w:val="0"/>
          <w:numId w:val="1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Request for Increase</w:t>
      </w:r>
      <w:r>
        <w:rPr>
          <w:rFonts w:ascii="Times New Roman" w:cs="Times New Roman" w:eastAsia="Times New Roman" w:hAnsi="Times New Roman"/>
          <w:sz w:val="14"/>
          <w:szCs w:val="14"/>
          <w:color w:val="auto"/>
        </w:rPr>
        <w:t>. Provided no Event of Default has occurred and is continuing, upon notice to Administrative Agent (which shall promptly notify the Lenders),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commencing after the Fifth Amendment Effective Date, Borrowers may from time to time, request an increase in the aggregate Commitments by an additional amount not to exceed $100,000,000; provided that (i) the aggregate Commitments of the Lenders shall not exceed $600,000,000 after giving effect to all such increases implemented pursuant to this </w:t>
      </w:r>
      <w:r>
        <w:rPr>
          <w:rFonts w:ascii="Times New Roman" w:cs="Times New Roman" w:eastAsia="Times New Roman" w:hAnsi="Times New Roman"/>
          <w:sz w:val="14"/>
          <w:szCs w:val="14"/>
          <w:b w:val="1"/>
          <w:bCs w:val="1"/>
          <w:i w:val="1"/>
          <w:iCs w:val="1"/>
          <w:color w:val="auto"/>
        </w:rPr>
        <w:t>Section 2.10</w:t>
      </w:r>
      <w:r>
        <w:rPr>
          <w:rFonts w:ascii="Times New Roman" w:cs="Times New Roman" w:eastAsia="Times New Roman" w:hAnsi="Times New Roman"/>
          <w:sz w:val="14"/>
          <w:szCs w:val="14"/>
          <w:color w:val="auto"/>
        </w:rPr>
        <w:t>, (ii) any such request for an increase shall be in a minimum amount of $25,000,000 (or such lesser amount as may be agreed to by the Administrative Agent in its sole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discretion), and (iii) Borrowers may make a maximum of three such requests after the Fifth Amendment Effective Date. To achieve the full amount of a requested increase, and subject to the approval of Administrative Agent and L/C Issuer, Borrowers may (A) request that one or more Lenders increase their Commitment, (B) invite all Lenders to increase their respective Commitment, and/or (C) invite additional Eligible Assignees to become Lenders pursuant to a joinder agreement in form and substance satisfactory to Administrative Agent and its counsel.</w:t>
      </w:r>
    </w:p>
    <w:p>
      <w:pPr>
        <w:spacing w:after="0" w:line="4" w:lineRule="exact"/>
        <w:rPr>
          <w:rFonts w:ascii="Times New Roman" w:cs="Times New Roman" w:eastAsia="Times New Roman" w:hAnsi="Times New Roman"/>
          <w:sz w:val="14"/>
          <w:szCs w:val="14"/>
          <w:b w:val="1"/>
          <w:bCs w:val="1"/>
          <w:color w:val="auto"/>
        </w:rPr>
      </w:pPr>
    </w:p>
    <w:p>
      <w:pPr>
        <w:jc w:val="both"/>
        <w:ind w:left="860" w:firstLine="428"/>
        <w:spacing w:after="0" w:line="249" w:lineRule="auto"/>
        <w:tabs>
          <w:tab w:leader="none" w:pos="1753" w:val="left"/>
        </w:tabs>
        <w:numPr>
          <w:ilvl w:val="0"/>
          <w:numId w:val="1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Notification by Administrative Agent; Additional Revolving Credit Lenders</w:t>
      </w:r>
      <w:r>
        <w:rPr>
          <w:rFonts w:ascii="Times New Roman" w:cs="Times New Roman" w:eastAsia="Times New Roman" w:hAnsi="Times New Roman"/>
          <w:sz w:val="14"/>
          <w:szCs w:val="14"/>
          <w:color w:val="auto"/>
        </w:rPr>
        <w:t>. In the event the Borrowers invite all Lenders to increase their respective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Commitment, then at the time of sending such notice, Borrowers (in consultation with Administrative Agent) shall specify the time period within which each Lender is requested to respond (which shall in no event be less than ten (10) Business Days from the date of delivery of such notice to the Lenders). Each Lender shall notify Administrative Agent within such time period whether or not it agrees to increase its Commitment and, if so, whether by an amount equal to, greater than, or less than its Applicable Percentage of such requested increase. Any Lender not responding within such time period shall be deemed to have declined to increase its Commitment. Administrative Agent shall notify Borrowers and each Lender of the Lenders’ responses to each request made hereunder.</w:t>
      </w:r>
    </w:p>
    <w:p>
      <w:pPr>
        <w:spacing w:after="0" w:line="4" w:lineRule="exact"/>
        <w:rPr>
          <w:rFonts w:ascii="Times New Roman" w:cs="Times New Roman" w:eastAsia="Times New Roman" w:hAnsi="Times New Roman"/>
          <w:sz w:val="14"/>
          <w:szCs w:val="14"/>
          <w:b w:val="1"/>
          <w:bCs w:val="1"/>
          <w:color w:val="auto"/>
        </w:rPr>
      </w:pPr>
    </w:p>
    <w:p>
      <w:pPr>
        <w:jc w:val="both"/>
        <w:ind w:left="860" w:firstLine="428"/>
        <w:spacing w:after="0" w:line="259" w:lineRule="auto"/>
        <w:tabs>
          <w:tab w:leader="none" w:pos="1611" w:val="left"/>
        </w:tabs>
        <w:numPr>
          <w:ilvl w:val="0"/>
          <w:numId w:val="1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Effective Date and Allocations</w:t>
      </w:r>
      <w:r>
        <w:rPr>
          <w:rFonts w:ascii="Times New Roman" w:cs="Times New Roman" w:eastAsia="Times New Roman" w:hAnsi="Times New Roman"/>
          <w:sz w:val="14"/>
          <w:szCs w:val="14"/>
          <w:color w:val="auto"/>
        </w:rPr>
        <w:t>. If the Commitments are increased in accordance with this Section, Administrative Agent and Borrowers shall determine the effective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date (the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Increase Effective Date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and the final allocation of such increase among the Lenders providing such increase. Administrative Agent shall promptly notify Borrowers and the Lenders of the final allocation of such increase and the Increase Effective Date.</w:t>
      </w:r>
    </w:p>
    <w:p>
      <w:pPr>
        <w:ind w:left="1600" w:hanging="312"/>
        <w:spacing w:after="0"/>
        <w:tabs>
          <w:tab w:leader="none" w:pos="1600" w:val="left"/>
        </w:tabs>
        <w:numPr>
          <w:ilvl w:val="0"/>
          <w:numId w:val="1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Conditions to Effectiveness of Increase</w:t>
      </w:r>
      <w:r>
        <w:rPr>
          <w:rFonts w:ascii="Times New Roman" w:cs="Times New Roman" w:eastAsia="Times New Roman" w:hAnsi="Times New Roman"/>
          <w:sz w:val="14"/>
          <w:szCs w:val="14"/>
          <w:color w:val="auto"/>
        </w:rPr>
        <w:t>. As a condition precedent to such increase, Borrowers shall deliver to Administrative Agent a certificate of each Loan Party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1300"/>
          </w:cols>
          <w:pgMar w:left="300" w:top="287" w:right="299" w:bottom="1440" w:gutter="0" w:footer="0" w:header="0"/>
        </w:sectPr>
      </w:pPr>
    </w:p>
    <w:bookmarkStart w:id="147" w:name="page148"/>
    <w:bookmarkEnd w:id="147"/>
    <w:p>
      <w:pPr>
        <w:ind w:left="1068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8" w:lineRule="exact"/>
        <w:rPr>
          <w:sz w:val="20"/>
          <w:szCs w:val="20"/>
          <w:color w:val="auto"/>
        </w:rPr>
      </w:pPr>
    </w:p>
    <w:p>
      <w:pPr>
        <w:jc w:val="both"/>
        <w:ind w:left="860"/>
        <w:spacing w:after="0" w:line="244" w:lineRule="auto"/>
        <w:rPr>
          <w:sz w:val="20"/>
          <w:szCs w:val="20"/>
          <w:color w:val="auto"/>
        </w:rPr>
      </w:pPr>
      <w:r>
        <w:rPr>
          <w:rFonts w:ascii="Times New Roman" w:cs="Times New Roman" w:eastAsia="Times New Roman" w:hAnsi="Times New Roman"/>
          <w:sz w:val="14"/>
          <w:szCs w:val="14"/>
          <w:color w:val="auto"/>
        </w:rPr>
        <w:t xml:space="preserve">dated as of the Increase Effective Date (in sufficient copies for each Lender) signed by a Responsible Officer of such Loan Party, in each case in form and substance satisfactory to Administrative Agent, (i) certifying and attaching the resolutions adopted by such Loan Party approving or consenting to such increase, and (ii) in the case of Borrowers, certifying that, before and after giving effect to such increase, (A) the representations and warranties contained in </w:t>
      </w:r>
      <w:r>
        <w:rPr>
          <w:rFonts w:ascii="Times New Roman" w:cs="Times New Roman" w:eastAsia="Times New Roman" w:hAnsi="Times New Roman"/>
          <w:sz w:val="14"/>
          <w:szCs w:val="14"/>
          <w:b w:val="1"/>
          <w:bCs w:val="1"/>
          <w:i w:val="1"/>
          <w:iCs w:val="1"/>
          <w:color w:val="auto"/>
        </w:rPr>
        <w:t>Article 5</w:t>
      </w:r>
      <w:r>
        <w:rPr>
          <w:rFonts w:ascii="Times New Roman" w:cs="Times New Roman" w:eastAsia="Times New Roman" w:hAnsi="Times New Roman"/>
          <w:sz w:val="14"/>
          <w:szCs w:val="14"/>
          <w:color w:val="auto"/>
        </w:rPr>
        <w:t xml:space="preserve"> and the other Loan Documents are true and correct in all material respects (or, if qualified by “materiality,” “Material Adverse Effect” or similar language, in all respects after giving effect to such qualification) on and as of the Increase Effective Date, except to the extent that such representations and warranties specifically refer to an earlier date, in which case they are true and correct as of such earlier date (or, if qualified by “materiality,” “Material Adverse Effect” or similar language, in all respects as of such earlier date after giving effect to such qualification), and except that for purposes of this </w:t>
      </w:r>
      <w:r>
        <w:rPr>
          <w:rFonts w:ascii="Times New Roman" w:cs="Times New Roman" w:eastAsia="Times New Roman" w:hAnsi="Times New Roman"/>
          <w:sz w:val="14"/>
          <w:szCs w:val="14"/>
          <w:b w:val="1"/>
          <w:bCs w:val="1"/>
          <w:i w:val="1"/>
          <w:iCs w:val="1"/>
          <w:color w:val="auto"/>
        </w:rPr>
        <w:t>Section 2.10</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representations and warranties contained in</w:t>
      </w:r>
      <w:r>
        <w:rPr>
          <w:rFonts w:ascii="Times New Roman" w:cs="Times New Roman" w:eastAsia="Times New Roman" w:hAnsi="Times New Roman"/>
          <w:sz w:val="14"/>
          <w:szCs w:val="14"/>
          <w:b w:val="1"/>
          <w:bCs w:val="1"/>
          <w:i w:val="1"/>
          <w:iCs w:val="1"/>
          <w:color w:val="auto"/>
        </w:rPr>
        <w:t xml:space="preserve"> Section 5.2 </w:t>
      </w:r>
      <w:r>
        <w:rPr>
          <w:rFonts w:ascii="Times New Roman" w:cs="Times New Roman" w:eastAsia="Times New Roman" w:hAnsi="Times New Roman"/>
          <w:sz w:val="14"/>
          <w:szCs w:val="14"/>
          <w:color w:val="auto"/>
        </w:rPr>
        <w:t>shall be deemed to refer to the most recent statements furnished pursuant to</w:t>
      </w:r>
      <w:r>
        <w:rPr>
          <w:rFonts w:ascii="Times New Roman" w:cs="Times New Roman" w:eastAsia="Times New Roman" w:hAnsi="Times New Roman"/>
          <w:sz w:val="14"/>
          <w:szCs w:val="14"/>
          <w:b w:val="1"/>
          <w:bCs w:val="1"/>
          <w:i w:val="1"/>
          <w:iCs w:val="1"/>
          <w:color w:val="auto"/>
        </w:rPr>
        <w:t xml:space="preserve"> subsections (a)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i w:val="1"/>
          <w:iCs w:val="1"/>
          <w:color w:val="auto"/>
        </w:rPr>
        <w:t xml:space="preserve"> (b)</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respectively, of </w:t>
      </w:r>
      <w:r>
        <w:rPr>
          <w:rFonts w:ascii="Times New Roman" w:cs="Times New Roman" w:eastAsia="Times New Roman" w:hAnsi="Times New Roman"/>
          <w:sz w:val="14"/>
          <w:szCs w:val="14"/>
          <w:b w:val="1"/>
          <w:bCs w:val="1"/>
          <w:i w:val="1"/>
          <w:iCs w:val="1"/>
          <w:color w:val="auto"/>
        </w:rPr>
        <w:t>Section 6.1</w:t>
      </w:r>
      <w:r>
        <w:rPr>
          <w:rFonts w:ascii="Times New Roman" w:cs="Times New Roman" w:eastAsia="Times New Roman" w:hAnsi="Times New Roman"/>
          <w:sz w:val="14"/>
          <w:szCs w:val="14"/>
          <w:color w:val="auto"/>
        </w:rPr>
        <w:t xml:space="preserve">, (B) no Default has occurred and is continuing and (C) the Borrowers are in pro forma compliance with the financial covenants contained in </w:t>
      </w:r>
      <w:r>
        <w:rPr>
          <w:rFonts w:ascii="Times New Roman" w:cs="Times New Roman" w:eastAsia="Times New Roman" w:hAnsi="Times New Roman"/>
          <w:sz w:val="14"/>
          <w:szCs w:val="14"/>
          <w:b w:val="1"/>
          <w:bCs w:val="1"/>
          <w:i w:val="1"/>
          <w:iCs w:val="1"/>
          <w:color w:val="auto"/>
        </w:rPr>
        <w:t>Section 8.1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Section 8.2</w:t>
      </w:r>
      <w:r>
        <w:rPr>
          <w:rFonts w:ascii="Times New Roman" w:cs="Times New Roman" w:eastAsia="Times New Roman" w:hAnsi="Times New Roman"/>
          <w:sz w:val="14"/>
          <w:szCs w:val="14"/>
          <w:color w:val="auto"/>
        </w:rPr>
        <w:t xml:space="preserve">. Borrowers shall prepay any Revolving Credit Loans outstanding on the Increase Effective Date (and pay any additional amounts required pursuant to </w:t>
      </w:r>
      <w:r>
        <w:rPr>
          <w:rFonts w:ascii="Times New Roman" w:cs="Times New Roman" w:eastAsia="Times New Roman" w:hAnsi="Times New Roman"/>
          <w:sz w:val="14"/>
          <w:szCs w:val="14"/>
          <w:b w:val="1"/>
          <w:bCs w:val="1"/>
          <w:i w:val="1"/>
          <w:iCs w:val="1"/>
          <w:color w:val="auto"/>
        </w:rPr>
        <w:t>Section 3.5</w:t>
      </w:r>
      <w:r>
        <w:rPr>
          <w:rFonts w:ascii="Times New Roman" w:cs="Times New Roman" w:eastAsia="Times New Roman" w:hAnsi="Times New Roman"/>
          <w:sz w:val="14"/>
          <w:szCs w:val="14"/>
          <w:color w:val="auto"/>
        </w:rPr>
        <w:t>) to the extent necessary to keep the outstanding Revolving Credit Loans ratable with any revised Applicable Percentages arising from any nonratable increase in the Commitments under this Section.</w:t>
      </w:r>
    </w:p>
    <w:p>
      <w:pPr>
        <w:spacing w:after="0" w:line="170" w:lineRule="exact"/>
        <w:rPr>
          <w:sz w:val="20"/>
          <w:szCs w:val="20"/>
          <w:color w:val="auto"/>
        </w:rPr>
      </w:pPr>
    </w:p>
    <w:p>
      <w:pPr>
        <w:jc w:val="both"/>
        <w:ind w:left="860" w:firstLine="428"/>
        <w:spacing w:after="0" w:line="244" w:lineRule="auto"/>
        <w:tabs>
          <w:tab w:leader="none" w:pos="1596" w:val="left"/>
        </w:tabs>
        <w:numPr>
          <w:ilvl w:val="0"/>
          <w:numId w:val="1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Pro Rata Treatment; Etc. </w:t>
      </w:r>
      <w:r>
        <w:rPr>
          <w:rFonts w:ascii="Times New Roman" w:cs="Times New Roman" w:eastAsia="Times New Roman" w:hAnsi="Times New Roman"/>
          <w:sz w:val="14"/>
          <w:szCs w:val="14"/>
          <w:color w:val="auto"/>
        </w:rPr>
        <w:t>On the Increase Effective Date, (i) any Lender increasing (or, in the case of any newly added Lender, extending) its Commitment shall make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available to Administrative Agent such amounts in immediately available funds as Administrative Agent shall determine, for the benefit of the other Lenders, as being required in order to cause, after giving effect to such increase or addition and the use of such amounts to make payments to such other Lenders, each Lender’s portion of the outstanding Revolving Credit Loans of all the Lenders to equal its revised Applicable Percentage of such outstanding Revolving Credit Loans, and Administrative Agent shall make such other adjustments among the Lenders with respect to the Revolving Credit Loans then outstanding and amounts of principal, interest, commitment fees and other amounts paid or payable with respect thereto as shall be necessary, in the opinion of Administrative Agent, in order to effect such reallocation and (ii) Borrowers shall be deemed to have repaid and reborrowed all outstanding Revolving Credit Loans as of the date of any increase (or addition) in the Commitments (with such reborrowing to consist of the Types of Revolving Credit Loans, with related Interest Periods if applicable, specified in a notice delivered by the Borrower Representative, in accordance with the requirements of </w:t>
      </w:r>
      <w:r>
        <w:rPr>
          <w:rFonts w:ascii="Times New Roman" w:cs="Times New Roman" w:eastAsia="Times New Roman" w:hAnsi="Times New Roman"/>
          <w:sz w:val="14"/>
          <w:szCs w:val="14"/>
          <w:b w:val="1"/>
          <w:bCs w:val="1"/>
          <w:i w:val="1"/>
          <w:iCs w:val="1"/>
          <w:color w:val="auto"/>
        </w:rPr>
        <w:t>Section 2.1(b))</w:t>
      </w:r>
      <w:r>
        <w:rPr>
          <w:rFonts w:ascii="Times New Roman" w:cs="Times New Roman" w:eastAsia="Times New Roman" w:hAnsi="Times New Roman"/>
          <w:sz w:val="14"/>
          <w:szCs w:val="14"/>
          <w:color w:val="auto"/>
        </w:rPr>
        <w:t xml:space="preserve">. The deemed payments made pursuant to </w:t>
      </w:r>
      <w:r>
        <w:rPr>
          <w:rFonts w:ascii="Times New Roman" w:cs="Times New Roman" w:eastAsia="Times New Roman" w:hAnsi="Times New Roman"/>
          <w:sz w:val="14"/>
          <w:szCs w:val="14"/>
          <w:b w:val="1"/>
          <w:bCs w:val="1"/>
          <w:i w:val="1"/>
          <w:iCs w:val="1"/>
          <w:color w:val="auto"/>
        </w:rPr>
        <w:t>clause (ii)</w:t>
      </w:r>
      <w:r>
        <w:rPr>
          <w:rFonts w:ascii="Times New Roman" w:cs="Times New Roman" w:eastAsia="Times New Roman" w:hAnsi="Times New Roman"/>
          <w:sz w:val="14"/>
          <w:szCs w:val="14"/>
          <w:color w:val="auto"/>
        </w:rPr>
        <w:t xml:space="preserve"> of the immediately preceding sentence shall be accompanied by payment of all accrued interest on the amount prepaid and, in respect of each Term SOFR Loan, shall be subject to the provisions of </w:t>
      </w:r>
      <w:r>
        <w:rPr>
          <w:rFonts w:ascii="Times New Roman" w:cs="Times New Roman" w:eastAsia="Times New Roman" w:hAnsi="Times New Roman"/>
          <w:sz w:val="14"/>
          <w:szCs w:val="14"/>
          <w:b w:val="1"/>
          <w:bCs w:val="1"/>
          <w:i w:val="1"/>
          <w:iCs w:val="1"/>
          <w:color w:val="auto"/>
        </w:rPr>
        <w:t>Section 3.5</w:t>
      </w:r>
      <w:r>
        <w:rPr>
          <w:rFonts w:ascii="Times New Roman" w:cs="Times New Roman" w:eastAsia="Times New Roman" w:hAnsi="Times New Roman"/>
          <w:sz w:val="14"/>
          <w:szCs w:val="14"/>
          <w:color w:val="auto"/>
        </w:rPr>
        <w:t xml:space="preserve"> if the deemed payment occurs other than on the last day of the related Interest Periods. Within a reasonable time after the effective date of any increase or addition, Administrative Agent shall, and is hereby authorized and directed to, revise </w:t>
      </w:r>
      <w:r>
        <w:rPr>
          <w:rFonts w:ascii="Times New Roman" w:cs="Times New Roman" w:eastAsia="Times New Roman" w:hAnsi="Times New Roman"/>
          <w:sz w:val="14"/>
          <w:szCs w:val="14"/>
          <w:b w:val="1"/>
          <w:bCs w:val="1"/>
          <w:i w:val="1"/>
          <w:iCs w:val="1"/>
          <w:color w:val="auto"/>
        </w:rPr>
        <w:t>Schedule 2.1</w:t>
      </w:r>
      <w:r>
        <w:rPr>
          <w:rFonts w:ascii="Times New Roman" w:cs="Times New Roman" w:eastAsia="Times New Roman" w:hAnsi="Times New Roman"/>
          <w:sz w:val="14"/>
          <w:szCs w:val="14"/>
          <w:color w:val="auto"/>
        </w:rPr>
        <w:t xml:space="preserve"> to reflect such increase or addition and shall distribute such revised </w:t>
      </w:r>
      <w:r>
        <w:rPr>
          <w:rFonts w:ascii="Times New Roman" w:cs="Times New Roman" w:eastAsia="Times New Roman" w:hAnsi="Times New Roman"/>
          <w:sz w:val="14"/>
          <w:szCs w:val="14"/>
          <w:b w:val="1"/>
          <w:bCs w:val="1"/>
          <w:i w:val="1"/>
          <w:iCs w:val="1"/>
          <w:color w:val="auto"/>
        </w:rPr>
        <w:t>Schedule 2.1</w:t>
      </w:r>
      <w:r>
        <w:rPr>
          <w:rFonts w:ascii="Times New Roman" w:cs="Times New Roman" w:eastAsia="Times New Roman" w:hAnsi="Times New Roman"/>
          <w:sz w:val="14"/>
          <w:szCs w:val="14"/>
          <w:color w:val="auto"/>
        </w:rPr>
        <w:t xml:space="preserve"> to each of the Lenders and the Borrowers, whereupon such revised </w:t>
      </w:r>
      <w:r>
        <w:rPr>
          <w:rFonts w:ascii="Times New Roman" w:cs="Times New Roman" w:eastAsia="Times New Roman" w:hAnsi="Times New Roman"/>
          <w:sz w:val="14"/>
          <w:szCs w:val="14"/>
          <w:b w:val="1"/>
          <w:bCs w:val="1"/>
          <w:i w:val="1"/>
          <w:iCs w:val="1"/>
          <w:color w:val="auto"/>
        </w:rPr>
        <w:t>Schedule 2.1</w:t>
      </w:r>
      <w:r>
        <w:rPr>
          <w:rFonts w:ascii="Times New Roman" w:cs="Times New Roman" w:eastAsia="Times New Roman" w:hAnsi="Times New Roman"/>
          <w:sz w:val="14"/>
          <w:szCs w:val="14"/>
          <w:color w:val="auto"/>
        </w:rPr>
        <w:t xml:space="preserve"> shall replace the old </w:t>
      </w:r>
      <w:r>
        <w:rPr>
          <w:rFonts w:ascii="Times New Roman" w:cs="Times New Roman" w:eastAsia="Times New Roman" w:hAnsi="Times New Roman"/>
          <w:sz w:val="14"/>
          <w:szCs w:val="14"/>
          <w:b w:val="1"/>
          <w:bCs w:val="1"/>
          <w:i w:val="1"/>
          <w:iCs w:val="1"/>
          <w:color w:val="auto"/>
        </w:rPr>
        <w:t>Schedule 2.1</w:t>
      </w:r>
      <w:r>
        <w:rPr>
          <w:rFonts w:ascii="Times New Roman" w:cs="Times New Roman" w:eastAsia="Times New Roman" w:hAnsi="Times New Roman"/>
          <w:sz w:val="14"/>
          <w:szCs w:val="14"/>
          <w:color w:val="auto"/>
        </w:rPr>
        <w:t xml:space="preserve"> and become part of this Agreement</w:t>
      </w:r>
    </w:p>
    <w:p>
      <w:pPr>
        <w:spacing w:after="0" w:line="166" w:lineRule="exact"/>
        <w:rPr>
          <w:rFonts w:ascii="Times New Roman" w:cs="Times New Roman" w:eastAsia="Times New Roman" w:hAnsi="Times New Roman"/>
          <w:sz w:val="14"/>
          <w:szCs w:val="14"/>
          <w:b w:val="1"/>
          <w:bCs w:val="1"/>
          <w:color w:val="auto"/>
        </w:rPr>
      </w:pPr>
    </w:p>
    <w:p>
      <w:pPr>
        <w:ind w:left="1580" w:hanging="292"/>
        <w:spacing w:after="0"/>
        <w:tabs>
          <w:tab w:leader="none" w:pos="1580" w:val="left"/>
        </w:tabs>
        <w:numPr>
          <w:ilvl w:val="0"/>
          <w:numId w:val="1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Conflicting Provisions</w:t>
      </w:r>
      <w:r>
        <w:rPr>
          <w:rFonts w:ascii="Times New Roman" w:cs="Times New Roman" w:eastAsia="Times New Roman" w:hAnsi="Times New Roman"/>
          <w:sz w:val="14"/>
          <w:szCs w:val="14"/>
          <w:color w:val="auto"/>
        </w:rPr>
        <w:t>. This Section shall supersede any provisions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11.10</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11.22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contrary.</w:t>
      </w:r>
    </w:p>
    <w:p>
      <w:pPr>
        <w:spacing w:after="0" w:line="37" w:lineRule="exact"/>
        <w:rPr>
          <w:sz w:val="20"/>
          <w:szCs w:val="20"/>
          <w:color w:val="auto"/>
        </w:rPr>
      </w:pPr>
    </w:p>
    <w:p>
      <w:pPr>
        <w:ind w:right="20" w:firstLine="432"/>
        <w:spacing w:after="0" w:line="288" w:lineRule="auto"/>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b w:val="1"/>
          <w:bCs w:val="1"/>
          <w:u w:val="single" w:color="auto"/>
          <w:color w:val="auto"/>
        </w:rPr>
        <w:t>Cash Collateral Blocked Accounts.</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b w:val="1"/>
          <w:bCs w:val="1"/>
          <w:i w:val="1"/>
          <w:iCs w:val="1"/>
          <w:color w:val="auto"/>
        </w:rPr>
        <w:t>Section 6.12</w:t>
      </w:r>
      <w:r>
        <w:rPr>
          <w:rFonts w:ascii="Times New Roman" w:cs="Times New Roman" w:eastAsia="Times New Roman" w:hAnsi="Times New Roman"/>
          <w:sz w:val="14"/>
          <w:szCs w:val="14"/>
          <w:color w:val="auto"/>
        </w:rPr>
        <w:t>, each Borrower shall establish with Administrative Agent or any banks acceptable to Administrative Agent, certain lockboxes and blocked accounts as agreed upon by the Administrative Agent (collectively “</w:t>
      </w:r>
      <w:r>
        <w:rPr>
          <w:rFonts w:ascii="Times New Roman" w:cs="Times New Roman" w:eastAsia="Times New Roman" w:hAnsi="Times New Roman"/>
          <w:sz w:val="14"/>
          <w:szCs w:val="14"/>
          <w:b w:val="1"/>
          <w:bCs w:val="1"/>
          <w:i w:val="1"/>
          <w:iCs w:val="1"/>
          <w:color w:val="auto"/>
        </w:rPr>
        <w:t>Blocked Accounts</w:t>
      </w:r>
      <w:r>
        <w:rPr>
          <w:rFonts w:ascii="Times New Roman" w:cs="Times New Roman" w:eastAsia="Times New Roman" w:hAnsi="Times New Roman"/>
          <w:sz w:val="14"/>
          <w:szCs w:val="14"/>
          <w:color w:val="auto"/>
        </w:rPr>
        <w:t>”), for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1300"/>
          </w:cols>
          <w:pgMar w:left="300" w:top="287" w:right="29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 xml:space="preserve">the benefit of Administrative Agent, for the deposit of all receipts and collections in accordance with </w:t>
      </w:r>
      <w:r>
        <w:rPr>
          <w:rFonts w:ascii="Times New Roman" w:cs="Times New Roman" w:eastAsia="Times New Roman" w:hAnsi="Times New Roman"/>
          <w:sz w:val="14"/>
          <w:szCs w:val="14"/>
          <w:b w:val="1"/>
          <w:bCs w:val="1"/>
          <w:i w:val="1"/>
          <w:iCs w:val="1"/>
          <w:color w:val="auto"/>
        </w:rPr>
        <w:t>Section 2.12</w:t>
      </w:r>
      <w:r>
        <w:rPr>
          <w:rFonts w:ascii="Times New Roman" w:cs="Times New Roman" w:eastAsia="Times New Roman" w:hAnsi="Times New Roman"/>
          <w:sz w:val="14"/>
          <w:szCs w:val="14"/>
          <w:color w:val="auto"/>
        </w:rPr>
        <w:t xml:space="preserve"> hereof, pursuant to executed Deposit Account Control Agreements in form and substance satisfactory to Administrative Agent, in its reasonable discretion. All receipts and collections deposited in such Blocked Accounts shall be pledged to Administrative Agent, for the benefit of the Secured Parties, and, pursuant to </w:t>
      </w:r>
      <w:r>
        <w:rPr>
          <w:rFonts w:ascii="Times New Roman" w:cs="Times New Roman" w:eastAsia="Times New Roman" w:hAnsi="Times New Roman"/>
          <w:sz w:val="14"/>
          <w:szCs w:val="14"/>
          <w:b w:val="1"/>
          <w:bCs w:val="1"/>
          <w:i w:val="1"/>
          <w:iCs w:val="1"/>
          <w:color w:val="auto"/>
        </w:rPr>
        <w:t>Section 2.5(d)</w:t>
      </w:r>
      <w:r>
        <w:rPr>
          <w:rFonts w:ascii="Times New Roman" w:cs="Times New Roman" w:eastAsia="Times New Roman" w:hAnsi="Times New Roman"/>
          <w:sz w:val="14"/>
          <w:szCs w:val="14"/>
          <w:color w:val="auto"/>
        </w:rPr>
        <w:t xml:space="preserve">, forwarded on a daily basis to an account held by Administrative Agent during a Trigger Period. During a Trigger Period, proceeds received from such Blocked Accounts shall be applied against any Obligations owing by any Borrower to the Lenders and shall be applied in accordance with </w:t>
      </w:r>
      <w:r>
        <w:rPr>
          <w:rFonts w:ascii="Times New Roman" w:cs="Times New Roman" w:eastAsia="Times New Roman" w:hAnsi="Times New Roman"/>
          <w:sz w:val="14"/>
          <w:szCs w:val="14"/>
          <w:b w:val="1"/>
          <w:bCs w:val="1"/>
          <w:i w:val="1"/>
          <w:iCs w:val="1"/>
          <w:color w:val="auto"/>
        </w:rPr>
        <w:t>Section 2.5(d)</w:t>
      </w:r>
      <w:r>
        <w:rPr>
          <w:rFonts w:ascii="Times New Roman" w:cs="Times New Roman" w:eastAsia="Times New Roman" w:hAnsi="Times New Roman"/>
          <w:sz w:val="14"/>
          <w:szCs w:val="14"/>
          <w:color w:val="auto"/>
        </w:rPr>
        <w:t xml:space="preserve"> hereof. Only Administrative Agent shall have the right to direct withdrawals from such Blocked Accounts. Except as otherwise agreed to by Administrative Agent, each bank at which any such Blocked Account is maintained shall waive any right of offset such bank may otherwise have in such Blocked Account and the items deposited therein. Borrowers shall pay all fees and charges as may be required by any depository in which such Blocked Accounts are opened. Subject to </w:t>
      </w:r>
      <w:r>
        <w:rPr>
          <w:rFonts w:ascii="Times New Roman" w:cs="Times New Roman" w:eastAsia="Times New Roman" w:hAnsi="Times New Roman"/>
          <w:sz w:val="14"/>
          <w:szCs w:val="14"/>
          <w:b w:val="1"/>
          <w:bCs w:val="1"/>
          <w:i w:val="1"/>
          <w:iCs w:val="1"/>
          <w:color w:val="auto"/>
        </w:rPr>
        <w:t>Section 6.12</w:t>
      </w:r>
      <w:r>
        <w:rPr>
          <w:rFonts w:ascii="Times New Roman" w:cs="Times New Roman" w:eastAsia="Times New Roman" w:hAnsi="Times New Roman"/>
          <w:sz w:val="14"/>
          <w:szCs w:val="14"/>
          <w:color w:val="auto"/>
        </w:rPr>
        <w:t xml:space="preserve">, each Borrower shall, contemporaneously with the execution of this Agreement, provide Administrative Agent with the duly executed Deposit Account Control Agreements related to such Blocked Accounts. Subject to </w:t>
      </w:r>
      <w:r>
        <w:rPr>
          <w:rFonts w:ascii="Times New Roman" w:cs="Times New Roman" w:eastAsia="Times New Roman" w:hAnsi="Times New Roman"/>
          <w:sz w:val="14"/>
          <w:szCs w:val="14"/>
          <w:b w:val="1"/>
          <w:bCs w:val="1"/>
          <w:i w:val="1"/>
          <w:iCs w:val="1"/>
          <w:color w:val="auto"/>
        </w:rPr>
        <w:t>Section 6.12</w:t>
      </w:r>
      <w:r>
        <w:rPr>
          <w:rFonts w:ascii="Times New Roman" w:cs="Times New Roman" w:eastAsia="Times New Roman" w:hAnsi="Times New Roman"/>
          <w:sz w:val="14"/>
          <w:szCs w:val="14"/>
          <w:color w:val="auto"/>
        </w:rPr>
        <w:t xml:space="preserve">, each Borrower covenants and agrees to notify all of its customers and account debtors in writing on or before the date set forth in </w:t>
      </w:r>
      <w:r>
        <w:rPr>
          <w:rFonts w:ascii="Times New Roman" w:cs="Times New Roman" w:eastAsia="Times New Roman" w:hAnsi="Times New Roman"/>
          <w:sz w:val="14"/>
          <w:szCs w:val="14"/>
          <w:b w:val="1"/>
          <w:bCs w:val="1"/>
          <w:i w:val="1"/>
          <w:iCs w:val="1"/>
          <w:color w:val="auto"/>
        </w:rPr>
        <w:t>Section 6.12</w:t>
      </w:r>
      <w:r>
        <w:rPr>
          <w:rFonts w:ascii="Times New Roman" w:cs="Times New Roman" w:eastAsia="Times New Roman" w:hAnsi="Times New Roman"/>
          <w:sz w:val="14"/>
          <w:szCs w:val="14"/>
          <w:color w:val="auto"/>
        </w:rPr>
        <w:t xml:space="preserve"> directing such customers and account debtors to forward all current and future remittances and/or payments owed to such Borrower to the Blocked Accounts. All of the Loan Parties’ deposit accounts as of the Closing Date are set forth in </w:t>
      </w:r>
      <w:r>
        <w:rPr>
          <w:rFonts w:ascii="Times New Roman" w:cs="Times New Roman" w:eastAsia="Times New Roman" w:hAnsi="Times New Roman"/>
          <w:sz w:val="14"/>
          <w:szCs w:val="14"/>
          <w:b w:val="1"/>
          <w:bCs w:val="1"/>
          <w:i w:val="1"/>
          <w:iCs w:val="1"/>
          <w:color w:val="auto"/>
        </w:rPr>
        <w:t>Schedule 2.11</w:t>
      </w:r>
      <w:r>
        <w:rPr>
          <w:rFonts w:ascii="Times New Roman" w:cs="Times New Roman" w:eastAsia="Times New Roman" w:hAnsi="Times New Roman"/>
          <w:sz w:val="14"/>
          <w:szCs w:val="14"/>
          <w:color w:val="auto"/>
        </w:rPr>
        <w:t>.</w:t>
      </w:r>
    </w:p>
    <w:p>
      <w:pPr>
        <w:spacing w:after="0" w:line="6"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2.12</w:t>
      </w:r>
      <w:r>
        <w:rPr>
          <w:sz w:val="20"/>
          <w:szCs w:val="20"/>
          <w:color w:val="auto"/>
        </w:rPr>
        <w:tab/>
      </w:r>
      <w:r>
        <w:rPr>
          <w:rFonts w:ascii="Times New Roman" w:cs="Times New Roman" w:eastAsia="Times New Roman" w:hAnsi="Times New Roman"/>
          <w:sz w:val="14"/>
          <w:szCs w:val="14"/>
          <w:b w:val="1"/>
          <w:bCs w:val="1"/>
          <w:color w:val="auto"/>
        </w:rPr>
        <w:t>Collection of Accounts.</w:t>
      </w:r>
    </w:p>
    <w:p>
      <w:pPr>
        <w:spacing w:after="0" w:line="39" w:lineRule="exact"/>
        <w:rPr>
          <w:sz w:val="20"/>
          <w:szCs w:val="20"/>
          <w:color w:val="auto"/>
        </w:rPr>
      </w:pPr>
    </w:p>
    <w:p>
      <w:pPr>
        <w:jc w:val="both"/>
        <w:ind w:left="420" w:firstLine="436"/>
        <w:spacing w:after="0" w:line="254" w:lineRule="auto"/>
        <w:tabs>
          <w:tab w:leader="none" w:pos="1169"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receipts of cash, cash equivalents, checks, credit card receipts, drafts, instruments, and other items of payment arising out of the sale of inventory or other Property of the Loan Parties or the creation of accounts receivable, including without limitation, insurance proceeds and tax refunds (referred to as “</w:t>
      </w:r>
      <w:r>
        <w:rPr>
          <w:rFonts w:ascii="Times New Roman" w:cs="Times New Roman" w:eastAsia="Times New Roman" w:hAnsi="Times New Roman"/>
          <w:sz w:val="14"/>
          <w:szCs w:val="14"/>
          <w:b w:val="1"/>
          <w:bCs w:val="1"/>
          <w:i w:val="1"/>
          <w:iCs w:val="1"/>
          <w:color w:val="auto"/>
        </w:rPr>
        <w:t>Receipts</w:t>
      </w:r>
      <w:r>
        <w:rPr>
          <w:rFonts w:ascii="Times New Roman" w:cs="Times New Roman" w:eastAsia="Times New Roman" w:hAnsi="Times New Roman"/>
          <w:sz w:val="14"/>
          <w:szCs w:val="14"/>
          <w:color w:val="auto"/>
        </w:rPr>
        <w:t>”), and all Property of the Loan Parties in which Administrative Agent has a security interest or Lien, shall be deposited daily into one or more of the Blocked Accounts, and shall be held in trust by such Loan Party for Administrative Agent until so deposited.</w:t>
      </w:r>
    </w:p>
    <w:p>
      <w:pPr>
        <w:spacing w:after="0" w:line="2" w:lineRule="exact"/>
        <w:rPr>
          <w:rFonts w:ascii="Times New Roman" w:cs="Times New Roman" w:eastAsia="Times New Roman" w:hAnsi="Times New Roman"/>
          <w:sz w:val="14"/>
          <w:szCs w:val="14"/>
          <w:color w:val="auto"/>
        </w:rPr>
      </w:pPr>
    </w:p>
    <w:p>
      <w:pPr>
        <w:jc w:val="both"/>
        <w:ind w:left="420" w:firstLine="436"/>
        <w:spacing w:after="0" w:line="253" w:lineRule="auto"/>
        <w:tabs>
          <w:tab w:leader="none" w:pos="11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notwithstanding the provisions of this Section, any Loan Party receives or otherwise has dominion and control of any Receipts, or any proceeds or collections of any Property of the Loan Parties in which Administrative Agent has a security interest or Lien, such Receipts, proceeds, and collections shall be held in trust by such Loan Party for Administrative Agent and shall not be commingled with any of such Loan Party’s other funds or deposited in any account of such Loan Party other than a Blocked Account.</w:t>
      </w:r>
    </w:p>
    <w:p>
      <w:pPr>
        <w:spacing w:after="0" w:line="2"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2.13</w:t>
      </w:r>
      <w:r>
        <w:rPr>
          <w:sz w:val="20"/>
          <w:szCs w:val="20"/>
          <w:color w:val="auto"/>
        </w:rPr>
        <w:tab/>
      </w:r>
      <w:r>
        <w:rPr>
          <w:rFonts w:ascii="Times New Roman" w:cs="Times New Roman" w:eastAsia="Times New Roman" w:hAnsi="Times New Roman"/>
          <w:sz w:val="14"/>
          <w:szCs w:val="14"/>
          <w:b w:val="1"/>
          <w:bCs w:val="1"/>
          <w:u w:val="single" w:color="auto"/>
          <w:color w:val="auto"/>
        </w:rPr>
        <w:t>Appointment of Borrower Representative.</w:t>
      </w:r>
    </w:p>
    <w:p>
      <w:pPr>
        <w:spacing w:after="0" w:line="35" w:lineRule="exact"/>
        <w:rPr>
          <w:sz w:val="20"/>
          <w:szCs w:val="20"/>
          <w:color w:val="auto"/>
        </w:rPr>
      </w:pPr>
    </w:p>
    <w:p>
      <w:pPr>
        <w:jc w:val="both"/>
        <w:ind w:left="420" w:firstLine="436"/>
        <w:spacing w:after="0" w:line="259" w:lineRule="auto"/>
        <w:tabs>
          <w:tab w:leader="none" w:pos="1167"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Borrower hereby irrevocably appoints and constitutes Holdings (in such capacity, the “</w:t>
      </w:r>
      <w:r>
        <w:rPr>
          <w:rFonts w:ascii="Times New Roman" w:cs="Times New Roman" w:eastAsia="Times New Roman" w:hAnsi="Times New Roman"/>
          <w:sz w:val="14"/>
          <w:szCs w:val="14"/>
          <w:b w:val="1"/>
          <w:bCs w:val="1"/>
          <w:i w:val="1"/>
          <w:iCs w:val="1"/>
          <w:color w:val="auto"/>
        </w:rPr>
        <w:t>Borrower Representative</w:t>
      </w:r>
      <w:r>
        <w:rPr>
          <w:rFonts w:ascii="Times New Roman" w:cs="Times New Roman" w:eastAsia="Times New Roman" w:hAnsi="Times New Roman"/>
          <w:sz w:val="14"/>
          <w:szCs w:val="14"/>
          <w:color w:val="auto"/>
        </w:rPr>
        <w:t>”) as its agent to request and receive the proceeds of any Loan, Letter of Credit or any other extension of credit hereunder (and to otherwise act on behalf of such Borrower pursuant to this Agreement and the other Loan Documents) from the Lenders in the name or on behalf of each such Borrower. The Lenders may disburse such proceeds only to a bank account of a Borrower without notice to any other Borrower or any other Loan Party.</w:t>
      </w:r>
    </w:p>
    <w:p>
      <w:pPr>
        <w:spacing w:after="0" w:line="166" w:lineRule="exact"/>
        <w:rPr>
          <w:rFonts w:ascii="Times New Roman" w:cs="Times New Roman" w:eastAsia="Times New Roman" w:hAnsi="Times New Roman"/>
          <w:sz w:val="14"/>
          <w:szCs w:val="14"/>
          <w:color w:val="auto"/>
        </w:rPr>
      </w:pPr>
    </w:p>
    <w:p>
      <w:pPr>
        <w:jc w:val="both"/>
        <w:ind w:left="420" w:firstLine="436"/>
        <w:spacing w:after="0" w:line="251" w:lineRule="auto"/>
        <w:tabs>
          <w:tab w:leader="none" w:pos="1262"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Loan Party hereby irrevocably appoints and constitutes the Borrower Representative as its agent to (i) receive statements of account and all other notices from Administrative Agent with respect to the Obligations or otherwise under or in connection with this Agreement and the other Loan Documents; (ii) execute and deliver Borrowing Base Reports and all other notices, certificates and documents to be executed and/or delivered by any Loan Party under this Agreement or the other Loan Documents; and (iii) otherwise act on behalf of such Loan Party pursuant to this Agreement and the other Loan Documents.</w:t>
      </w:r>
    </w:p>
    <w:p>
      <w:pPr>
        <w:ind w:left="420" w:firstLine="436"/>
        <w:spacing w:after="0" w:line="283" w:lineRule="auto"/>
        <w:tabs>
          <w:tab w:leader="none" w:pos="1173"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authorizations contained in this </w:t>
      </w:r>
      <w:r>
        <w:rPr>
          <w:rFonts w:ascii="Times New Roman" w:cs="Times New Roman" w:eastAsia="Times New Roman" w:hAnsi="Times New Roman"/>
          <w:sz w:val="14"/>
          <w:szCs w:val="14"/>
          <w:b w:val="1"/>
          <w:bCs w:val="1"/>
          <w:i w:val="1"/>
          <w:iCs w:val="1"/>
          <w:color w:val="auto"/>
        </w:rPr>
        <w:t>Section 2.13</w:t>
      </w:r>
      <w:r>
        <w:rPr>
          <w:rFonts w:ascii="Times New Roman" w:cs="Times New Roman" w:eastAsia="Times New Roman" w:hAnsi="Times New Roman"/>
          <w:sz w:val="14"/>
          <w:szCs w:val="14"/>
          <w:color w:val="auto"/>
        </w:rPr>
        <w:t xml:space="preserve"> are coupled with an interest and shall be irrevocable, and the Lenders may rely on any notice, request, information supplied by the Borrower Representative, every document executed by the Borrower Representative, every agreement made by the Borrower Representative or other action taken by the Borrower</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1300"/>
          </w:cols>
          <w:pgMar w:left="300" w:top="287" w:right="29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420"/>
        <w:spacing w:after="0" w:line="259" w:lineRule="auto"/>
        <w:rPr>
          <w:sz w:val="20"/>
          <w:szCs w:val="20"/>
          <w:color w:val="auto"/>
        </w:rPr>
      </w:pPr>
      <w:r>
        <w:rPr>
          <w:rFonts w:ascii="Times New Roman" w:cs="Times New Roman" w:eastAsia="Times New Roman" w:hAnsi="Times New Roman"/>
          <w:sz w:val="14"/>
          <w:szCs w:val="14"/>
          <w:color w:val="auto"/>
        </w:rPr>
        <w:t>Representative in respect of any Borrower or other Loan Party as if the same were supplied, made or taken by such Borrower or such Loan Party. Without limiting the generality of the foregoing, the failure of one or more Borrowers or other Loan Parties to join in the execution of any writing in connection herewith shall not relieve any Borrower or other Loan Party from obligations in respect of such writing.</w:t>
      </w:r>
    </w:p>
    <w:p>
      <w:pPr>
        <w:spacing w:after="0" w:line="1" w:lineRule="exact"/>
        <w:rPr>
          <w:sz w:val="20"/>
          <w:szCs w:val="20"/>
          <w:color w:val="auto"/>
        </w:rPr>
      </w:pPr>
    </w:p>
    <w:p>
      <w:pPr>
        <w:ind w:left="1160" w:hanging="304"/>
        <w:spacing w:after="0"/>
        <w:tabs>
          <w:tab w:leader="none" w:pos="116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purported termination of the appointment of the Borrower Representative as agent shall be effective without the prior written consent of Administrative Agent.</w:t>
      </w:r>
    </w:p>
    <w:p>
      <w:pPr>
        <w:spacing w:after="0" w:line="37" w:lineRule="exact"/>
        <w:rPr>
          <w:rFonts w:ascii="Times New Roman" w:cs="Times New Roman" w:eastAsia="Times New Roman" w:hAnsi="Times New Roman"/>
          <w:sz w:val="14"/>
          <w:szCs w:val="14"/>
          <w:color w:val="auto"/>
        </w:rPr>
      </w:pPr>
    </w:p>
    <w:p>
      <w:pPr>
        <w:jc w:val="both"/>
        <w:ind w:left="420" w:firstLine="436"/>
        <w:spacing w:after="0" w:line="251" w:lineRule="auto"/>
        <w:tabs>
          <w:tab w:leader="none" w:pos="1165"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notice given by or to the Borrower Representative hereunder shall constitute and be deemed to be notice given by or to all Borrowers, jointly and severally. Notice given by Administrative Agent to the Borrower Representative hereunder or pursuant to any other Loan Documents in accordance with the terms hereof or thereof shall constitute notice to all Borrowers. The knowledge of any Borrower shall be imputed to all Borrowers and any consent by the Borrower Representative or any Borrower shall constitute the consent of and shall bind all Borrowers.</w:t>
      </w:r>
    </w:p>
    <w:p>
      <w:pPr>
        <w:spacing w:after="0" w:line="165" w:lineRule="exact"/>
        <w:rPr>
          <w:rFonts w:ascii="Times New Roman" w:cs="Times New Roman" w:eastAsia="Times New Roman" w:hAnsi="Times New Roman"/>
          <w:sz w:val="14"/>
          <w:szCs w:val="14"/>
          <w:color w:val="auto"/>
        </w:rPr>
      </w:pPr>
    </w:p>
    <w:p>
      <w:pPr>
        <w:jc w:val="both"/>
        <w:ind w:left="420" w:firstLine="436"/>
        <w:spacing w:after="0" w:line="260" w:lineRule="auto"/>
        <w:tabs>
          <w:tab w:leader="none" w:pos="1227"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Borrower Representative hereby accepts the appointment by each Loan Party to act as the agent of the Loan Parties pursuant to this </w:t>
      </w:r>
      <w:r>
        <w:rPr>
          <w:rFonts w:ascii="Times New Roman" w:cs="Times New Roman" w:eastAsia="Times New Roman" w:hAnsi="Times New Roman"/>
          <w:sz w:val="14"/>
          <w:szCs w:val="14"/>
          <w:b w:val="1"/>
          <w:bCs w:val="1"/>
          <w:i w:val="1"/>
          <w:iCs w:val="1"/>
          <w:color w:val="auto"/>
        </w:rPr>
        <w:t>Section 2.13</w:t>
      </w:r>
      <w:r>
        <w:rPr>
          <w:rFonts w:ascii="Times New Roman" w:cs="Times New Roman" w:eastAsia="Times New Roman" w:hAnsi="Times New Roman"/>
          <w:sz w:val="14"/>
          <w:szCs w:val="14"/>
          <w:color w:val="auto"/>
        </w:rPr>
        <w:t>. The Borrower Representative shall ensure that the disbursement of any Loans, the issuance of any Letters of Credit or other extension of credit hereunder to each Borrower requested by or paid to or for the account of such Borrower shall be paid to or for the account of such Borrower.</w:t>
      </w:r>
    </w:p>
    <w:p>
      <w:pPr>
        <w:spacing w:after="0" w:line="1"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4"/>
          <w:szCs w:val="14"/>
          <w:color w:val="auto"/>
        </w:rPr>
        <w:t xml:space="preserve">Section 2.14 </w:t>
      </w:r>
      <w:r>
        <w:rPr>
          <w:rFonts w:ascii="Times New Roman" w:cs="Times New Roman" w:eastAsia="Times New Roman" w:hAnsi="Times New Roman"/>
          <w:sz w:val="14"/>
          <w:szCs w:val="14"/>
          <w:b w:val="1"/>
          <w:bCs w:val="1"/>
          <w:u w:val="single" w:color="auto"/>
          <w:color w:val="auto"/>
        </w:rPr>
        <w:t>Joint and Several Liability.</w:t>
      </w:r>
      <w:r>
        <w:rPr>
          <w:rFonts w:ascii="Times New Roman" w:cs="Times New Roman" w:eastAsia="Times New Roman" w:hAnsi="Times New Roman"/>
          <w:sz w:val="14"/>
          <w:szCs w:val="14"/>
          <w:color w:val="auto"/>
        </w:rPr>
        <w:t xml:space="preserve"> The Borrowers shall be jointly and severally liable for all Obligations due to the Secured Parties under this Agreement, regardless of which Borrower actually receives any Loans, Letters of Credit or other extensions of credit hereunder or the amount of such Loans or Letters of Credit received or the manner in which Administrative Agent accounts for such Loans, Letters of Credit or other extensions of credit on its books and records. The Obligations with respect to the Loans and Letters of Credit or other extensions of credit made to a Borrower, and the Obligations arising as a result of the joint and several liability of a Borrower hereunder, shall be primary obligations of all the Borrowers. The Obligations arising as a result of the joint and several liability of a Borrower hereunder with respect to the Loans, Letters of Credit or other extensions of credit made to the other Borrowers hereunder shall, to the fullest extent permitted by law, be unconditional irrespective of (a) the validity or enforceability, avoidance or subordination of the Obligations of the other Borrowers or of any promissory note or other document evidencing all or any part of the Obligations of the other Borrowers, (b) the absence of any attempt to collect the Obligations from the other Borrowers, any other Loan Party or any other security therefor, or the absence of any other action to enforce the same, (c) the failure by Administrative Agent to take any steps to perfect and maintain its security interest in, or to preserve its rights and maintain its security or collateral for the Obligations of the other Borrowers and the other Loan Parties, (d) the election of Administrative Agent or any other Secured Party in any proceeding instituted under any bankruptcy, insolvency or other Debtor Relief Law or of the application of Section 1111(b)(2) of the Bankruptcy Code of the United States, (e) the disallowance of all or any portion of the claim(s) of the Secured Parties for the repayment of the Obligations of the other Borrowers and other Loan Parties under Section 502 of the Bankruptcy Code of the United States, or (f) any other circumstances which might constitute a legal or equitable discharge or defense of any obligor. With respect to the Obligations arising as a result of the joint and several liability of a Borrower hereunder with respect to the Loans, Letters of Credit or other extensions of credit made to the other Borrowers hereunder, each Borrower waives, until the Obligations shall have been paid in full in immediately available funds and this Agreement shall have been terminated, any right to enforce any right of subrogation or any remedy which the Secured Parties now have or may hereafter have against the Borrowers and the other Loan Parties, any endorser or any guarantor of all or any part of the Obligations, and any benefit of, and any right to participate in, any security or collateral given to the Secured Parties. Upon any Event of Default and for so long as the same is continuing, Administrative Agent may proceed directly and at once, without notice, against any Borrower or any Guarantor to collect and recover the full amount, or any portion of the Obligations, without first proceeding against the other Borrowers or any other Person, or against 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1300"/>
          </w:cols>
          <w:pgMar w:left="300" w:top="287" w:right="29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4"/>
          <w:szCs w:val="14"/>
          <w:color w:val="auto"/>
        </w:rPr>
        <w:t>security or collateral for the Obligations. Each Borrower consents and agrees that Administrative Agent shall be under no obligation to marshal any assets in favor of any Borrower or any other Loan Party against or in payment of any or all of the Obligations.</w:t>
      </w:r>
    </w:p>
    <w:p>
      <w:pPr>
        <w:spacing w:after="0" w:line="1"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 xml:space="preserve">Section 2.15 </w:t>
      </w:r>
      <w:r>
        <w:rPr>
          <w:rFonts w:ascii="Times New Roman" w:cs="Times New Roman" w:eastAsia="Times New Roman" w:hAnsi="Times New Roman"/>
          <w:sz w:val="14"/>
          <w:szCs w:val="14"/>
          <w:b w:val="1"/>
          <w:bCs w:val="1"/>
          <w:u w:val="single" w:color="auto"/>
          <w:color w:val="auto"/>
        </w:rPr>
        <w:t>Bank Products.</w:t>
      </w:r>
      <w:r>
        <w:rPr>
          <w:rFonts w:ascii="Times New Roman" w:cs="Times New Roman" w:eastAsia="Times New Roman" w:hAnsi="Times New Roman"/>
          <w:sz w:val="14"/>
          <w:szCs w:val="14"/>
          <w:color w:val="auto"/>
        </w:rPr>
        <w:t xml:space="preserve"> Each Lender or Affiliate thereof providing Bank Products for, or having Hedge Agreements with, any Loan Party shall deliver to Administrative Agent, promptly after entering into such Bank Product or Hedge Agreements, written notice setting forth the aggregate amount of all Bank Product Obligations of such Loan Party thereof to such Lender or Affiliate (whether matured or unmatured, absolute or contingent). For the avoidance of doubt, so long as Texas Capital Bank or its Affiliate is the Administrative Agent, neither Texas Capital Bank nor any of its Affiliates providing Bank Products for, or having Hedge Agreements with, any Loan Party shall be required to provide any notice described in this </w:t>
      </w:r>
      <w:r>
        <w:rPr>
          <w:rFonts w:ascii="Times New Roman" w:cs="Times New Roman" w:eastAsia="Times New Roman" w:hAnsi="Times New Roman"/>
          <w:sz w:val="14"/>
          <w:szCs w:val="14"/>
          <w:i w:val="1"/>
          <w:iCs w:val="1"/>
          <w:color w:val="auto"/>
        </w:rPr>
        <w:t>Section 2.15</w:t>
      </w:r>
      <w:r>
        <w:rPr>
          <w:rFonts w:ascii="Times New Roman" w:cs="Times New Roman" w:eastAsia="Times New Roman" w:hAnsi="Times New Roman"/>
          <w:sz w:val="14"/>
          <w:szCs w:val="14"/>
          <w:color w:val="auto"/>
        </w:rPr>
        <w:t xml:space="preserve"> in respect of such Bank Products or Hedge Agreements.</w:t>
      </w:r>
    </w:p>
    <w:p>
      <w:pPr>
        <w:spacing w:after="0" w:line="20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3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TAXES, YIELD PROTECTION AND INDEMNITY</w:t>
      </w:r>
    </w:p>
    <w:p>
      <w:pPr>
        <w:spacing w:after="0" w:line="244"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3.1</w:t>
      </w:r>
      <w:r>
        <w:rPr>
          <w:sz w:val="20"/>
          <w:szCs w:val="20"/>
          <w:color w:val="auto"/>
        </w:rPr>
        <w:tab/>
      </w:r>
      <w:r>
        <w:rPr>
          <w:rFonts w:ascii="Times New Roman" w:cs="Times New Roman" w:eastAsia="Times New Roman" w:hAnsi="Times New Roman"/>
          <w:sz w:val="14"/>
          <w:szCs w:val="14"/>
          <w:b w:val="1"/>
          <w:bCs w:val="1"/>
          <w:u w:val="single" w:color="auto"/>
          <w:color w:val="auto"/>
        </w:rPr>
        <w:t>Increased Costs</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27" w:lineRule="exact"/>
        <w:rPr>
          <w:sz w:val="20"/>
          <w:szCs w:val="20"/>
          <w:color w:val="auto"/>
        </w:rPr>
      </w:pPr>
    </w:p>
    <w:p>
      <w:pPr>
        <w:ind w:left="1160" w:hanging="304"/>
        <w:spacing w:after="0"/>
        <w:tabs>
          <w:tab w:leader="none" w:pos="1160" w:val="left"/>
        </w:tabs>
        <w:numPr>
          <w:ilvl w:val="0"/>
          <w:numId w:val="1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Increased Costs Generally</w:t>
      </w:r>
      <w:r>
        <w:rPr>
          <w:rFonts w:ascii="Times New Roman" w:cs="Times New Roman" w:eastAsia="Times New Roman" w:hAnsi="Times New Roman"/>
          <w:sz w:val="14"/>
          <w:szCs w:val="14"/>
          <w:color w:val="auto"/>
        </w:rPr>
        <w:t>. If any Change in Law shall:</w:t>
      </w:r>
    </w:p>
    <w:p>
      <w:pPr>
        <w:spacing w:after="0" w:line="37" w:lineRule="exact"/>
        <w:rPr>
          <w:rFonts w:ascii="Times New Roman" w:cs="Times New Roman" w:eastAsia="Times New Roman" w:hAnsi="Times New Roman"/>
          <w:sz w:val="14"/>
          <w:szCs w:val="14"/>
          <w:b w:val="1"/>
          <w:bCs w:val="1"/>
          <w:color w:val="auto"/>
        </w:rPr>
      </w:pPr>
    </w:p>
    <w:p>
      <w:pPr>
        <w:ind w:left="860" w:firstLine="428"/>
        <w:spacing w:after="0" w:line="265" w:lineRule="auto"/>
        <w:tabs>
          <w:tab w:leader="none" w:pos="1615" w:val="left"/>
        </w:tabs>
        <w:numPr>
          <w:ilvl w:val="1"/>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Term SOFR);</w:t>
      </w:r>
    </w:p>
    <w:p>
      <w:pPr>
        <w:ind w:left="860" w:firstLine="428"/>
        <w:spacing w:after="0" w:line="271" w:lineRule="auto"/>
        <w:tabs>
          <w:tab w:leader="none" w:pos="1665" w:val="left"/>
        </w:tabs>
        <w:numPr>
          <w:ilvl w:val="1"/>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any Recipient to any Taxes (other than (A) Indemnified Taxes, (B) Taxes described in </w:t>
      </w:r>
      <w:r>
        <w:rPr>
          <w:rFonts w:ascii="Times New Roman" w:cs="Times New Roman" w:eastAsia="Times New Roman" w:hAnsi="Times New Roman"/>
          <w:sz w:val="14"/>
          <w:szCs w:val="14"/>
          <w:b w:val="1"/>
          <w:bCs w:val="1"/>
          <w:i w:val="1"/>
          <w:iCs w:val="1"/>
          <w:color w:val="auto"/>
        </w:rPr>
        <w:t>clauses (b)</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b w:val="1"/>
          <w:bCs w:val="1"/>
          <w:i w:val="1"/>
          <w:iCs w:val="1"/>
          <w:color w:val="auto"/>
        </w:rPr>
        <w:t>(d)</w:t>
      </w:r>
      <w:r>
        <w:rPr>
          <w:rFonts w:ascii="Times New Roman" w:cs="Times New Roman" w:eastAsia="Times New Roman" w:hAnsi="Times New Roman"/>
          <w:sz w:val="14"/>
          <w:szCs w:val="14"/>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ind w:left="860" w:firstLine="428"/>
        <w:spacing w:after="0" w:line="268" w:lineRule="auto"/>
        <w:tabs>
          <w:tab w:leader="none" w:pos="1703" w:val="left"/>
        </w:tabs>
        <w:numPr>
          <w:ilvl w:val="1"/>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on any Lender any other condition, cost or expense (other than Taxes) affecting this Agreement or Loans made by such Lender or any Letter of Credit or participation therein;</w:t>
      </w:r>
    </w:p>
    <w:p>
      <w:pPr>
        <w:jc w:val="both"/>
        <w:ind w:left="420"/>
        <w:spacing w:after="0" w:line="248" w:lineRule="auto"/>
        <w:rPr>
          <w:sz w:val="20"/>
          <w:szCs w:val="20"/>
          <w:color w:val="auto"/>
        </w:rPr>
      </w:pPr>
      <w:r>
        <w:rPr>
          <w:rFonts w:ascii="Times New Roman" w:cs="Times New Roman" w:eastAsia="Times New Roman" w:hAnsi="Times New Roman"/>
          <w:sz w:val="14"/>
          <w:szCs w:val="14"/>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or such other Recipient of participating in, issuing or maintaining any Letter of Credit (or of maintaining its obligation to participate in or to issue any Letter of Credit) or to reduce the amount of any sum received or receivable by such Lender or other Recipient hereunder (whether of principal, interest or any other amount) then, upon request of such Lender or other Recipient, Borrowers will pay to such Lender or other Recipient, as the case may be, such additional amount or amounts as will compensate such Lender or other Recipient, as the case may be, for such additional costs incurred or reduction suffered.</w:t>
      </w:r>
    </w:p>
    <w:p>
      <w:pPr>
        <w:spacing w:after="0" w:line="3" w:lineRule="exact"/>
        <w:rPr>
          <w:sz w:val="20"/>
          <w:szCs w:val="20"/>
          <w:color w:val="auto"/>
        </w:rPr>
      </w:pPr>
    </w:p>
    <w:p>
      <w:pPr>
        <w:jc w:val="both"/>
        <w:ind w:left="420" w:firstLine="436"/>
        <w:spacing w:after="0" w:line="250" w:lineRule="auto"/>
        <w:tabs>
          <w:tab w:leader="none" w:pos="1177" w:val="left"/>
        </w:tabs>
        <w:numPr>
          <w:ilvl w:val="0"/>
          <w:numId w:val="1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Capital or Liquidity Requirements</w:t>
      </w:r>
      <w:r>
        <w:rPr>
          <w:rFonts w:ascii="Times New Roman" w:cs="Times New Roman" w:eastAsia="Times New Roman" w:hAnsi="Times New Roman"/>
          <w:sz w:val="14"/>
          <w:szCs w:val="14"/>
          <w:color w:val="auto"/>
        </w:rPr>
        <w:t>. If any Lender determines that any Change in Law affecting such Lender or any Lending Office of such Lender or such Lender’s holding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Letters of Credit or Swing Line Loans held by such Lender or the Letters of Credit issued by L/C Issuer,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Borrowers will pay to such</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1300"/>
          </w:cols>
          <w:pgMar w:left="300" w:top="287" w:right="29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Lender such additional amount or amounts as will compensate such Lender or such Lender’s holding company for any such reduction suffered.</w:t>
      </w:r>
    </w:p>
    <w:p>
      <w:pPr>
        <w:spacing w:after="0" w:line="35" w:lineRule="exact"/>
        <w:rPr>
          <w:sz w:val="20"/>
          <w:szCs w:val="20"/>
          <w:color w:val="auto"/>
        </w:rPr>
      </w:pPr>
    </w:p>
    <w:p>
      <w:pPr>
        <w:jc w:val="both"/>
        <w:ind w:left="420" w:firstLine="436"/>
        <w:spacing w:after="0" w:line="258" w:lineRule="auto"/>
        <w:tabs>
          <w:tab w:leader="none" w:pos="1162" w:val="left"/>
        </w:tabs>
        <w:numPr>
          <w:ilvl w:val="0"/>
          <w:numId w:val="1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Certificates for Reimbursement</w:t>
      </w:r>
      <w:r>
        <w:rPr>
          <w:rFonts w:ascii="Times New Roman" w:cs="Times New Roman" w:eastAsia="Times New Roman" w:hAnsi="Times New Roman"/>
          <w:sz w:val="14"/>
          <w:szCs w:val="14"/>
          <w:color w:val="auto"/>
        </w:rPr>
        <w:t>. A certificate of a Lender setting forth the amount or amounts necessary to compensate such Lender or its holding company, as the case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be, as specified in </w:t>
      </w:r>
      <w:r>
        <w:rPr>
          <w:rFonts w:ascii="Times New Roman" w:cs="Times New Roman" w:eastAsia="Times New Roman" w:hAnsi="Times New Roman"/>
          <w:sz w:val="14"/>
          <w:szCs w:val="14"/>
          <w:b w:val="1"/>
          <w:bCs w:val="1"/>
          <w:i w:val="1"/>
          <w:iCs w:val="1"/>
          <w:color w:val="auto"/>
        </w:rPr>
        <w:t>Sections 3.1(a)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(b)</w:t>
      </w:r>
      <w:r>
        <w:rPr>
          <w:rFonts w:ascii="Times New Roman" w:cs="Times New Roman" w:eastAsia="Times New Roman" w:hAnsi="Times New Roman"/>
          <w:sz w:val="14"/>
          <w:szCs w:val="14"/>
          <w:color w:val="auto"/>
        </w:rPr>
        <w:t xml:space="preserve"> and delivered to the Borrower Representative, shall be conclusive absent manifest error. Borrowers shall pay such Lender the amount shown as due on any such certificate within ten (10) days after receipt thereof.</w:t>
      </w:r>
    </w:p>
    <w:p>
      <w:pPr>
        <w:jc w:val="both"/>
        <w:ind w:left="420" w:firstLine="436"/>
        <w:spacing w:after="0" w:line="249" w:lineRule="auto"/>
        <w:tabs>
          <w:tab w:leader="none" w:pos="1208" w:val="left"/>
        </w:tabs>
        <w:numPr>
          <w:ilvl w:val="0"/>
          <w:numId w:val="1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Delay in Requests</w:t>
      </w:r>
      <w:r>
        <w:rPr>
          <w:rFonts w:ascii="Times New Roman" w:cs="Times New Roman" w:eastAsia="Times New Roman" w:hAnsi="Times New Roman"/>
          <w:sz w:val="14"/>
          <w:szCs w:val="14"/>
          <w:color w:val="auto"/>
        </w:rPr>
        <w:t>. Failure or delay on the part of any Lender to demand compensation pursuant to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3.1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not constitute a waiver of such Lender’s right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demand such compensation;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Borrower shall be required to compensate a Lender pursuant to this </w:t>
      </w:r>
      <w:r>
        <w:rPr>
          <w:rFonts w:ascii="Times New Roman" w:cs="Times New Roman" w:eastAsia="Times New Roman" w:hAnsi="Times New Roman"/>
          <w:sz w:val="14"/>
          <w:szCs w:val="14"/>
          <w:b w:val="1"/>
          <w:bCs w:val="1"/>
          <w:i w:val="1"/>
          <w:iCs w:val="1"/>
          <w:color w:val="auto"/>
        </w:rPr>
        <w:t>Section 3.1</w:t>
      </w:r>
      <w:r>
        <w:rPr>
          <w:rFonts w:ascii="Times New Roman" w:cs="Times New Roman" w:eastAsia="Times New Roman" w:hAnsi="Times New Roman"/>
          <w:sz w:val="14"/>
          <w:szCs w:val="14"/>
          <w:color w:val="auto"/>
        </w:rPr>
        <w:t xml:space="preserve"> for any increased costs incurred or reductions suffered more than nine (9) months prior to the date that such Lender notifies the Borrower Representative of the Change in Law giving rise to such increased costs or reductions, and of such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4"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b w:val="1"/>
          <w:bCs w:val="1"/>
          <w:u w:val="single" w:color="auto"/>
          <w:color w:val="auto"/>
        </w:rPr>
        <w:t>Illegality.</w:t>
      </w:r>
      <w:r>
        <w:rPr>
          <w:rFonts w:ascii="Times New Roman" w:cs="Times New Roman" w:eastAsia="Times New Roman" w:hAnsi="Times New Roman"/>
          <w:sz w:val="14"/>
          <w:szCs w:val="14"/>
          <w:color w:val="auto"/>
        </w:rPr>
        <w:t xml:space="preserve"> If any Lender determines that any Law or regulation has made it unlawful, or that any Governmental Authority has asserted that it is unlawful, for any Lender or its Lending Office to make, maintain or fund Loans whose interest is determined by reference to SOFR, the Term SOFR Reference Rate, Adjusted Term SOFR or Term SOFR, or to determine or charge interest rates based upon SOFR, the Term SOFR Reference Rate, Adjusted Term SOFR or Term SOFR, then, on notice thereof by such Lender to the Borrower Representative through Administrative Agent, (a) any obligation of such Lender to make or continue Term SOFR Loans or to convert Base Rate Loans to Term SOFR Loans shall be suspended, and (b) if such notice asserts the illegality of such Lender making or maintaining Base Rate Loans the interest rate on which is determined by reference to the Adjusted Term SOFR component of the Base Rate, the interest rate on which Base Rate Loans of such Lender shall, if necessary to avoid such illegality, be determined by Administrative Agent without reference to the Adjusted Term SOFR component of the Base Rate, in each case until such Lender notifies Administrative Agent and the Borrower Representative that the circumstances giving rise to such determination no longer exist. Upon receipt of such notice, (i) Borrowers shall, upon demand from such Lender (with a copy to Administrative Agent), prepay or, if applicable, convert all Term SOFR Loans of such Lender to Base Rate Loans (the interest rate on which Base Rate Loans of such Lender shall, if necessary to avoid such illegality, be determined by Administrative Agent without reference to the Adjusted Term SOFR component of the Base Rate), either on the last day of the Interest Period therefor, if such Lender may lawfully continue to maintain such Term SOFR Loans to such day, or immediately, if such Lender may not lawfully continue to maintain such Term SOFR Loans and (ii) if such notice asserts the illegality of such Lender determining or charging interest rates based upon Adjusted Term SOFR, Administrative Agent shall during the period of such suspension compute the Base Rate applicable to such Lender without reference to the Adjusted Term SOFR component thereof until Administrative Agent is advised in writing by such Lender that it is no longer illegal for such Lender to determine or charge interest rates based upon Adjusted Term SOFR. Upon any such prepayment or conversion, Borrowers shall also pay accrued interest on the amount so prepaid or converted.</w:t>
      </w:r>
    </w:p>
    <w:p>
      <w:pPr>
        <w:spacing w:after="0" w:line="13"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3.3</w:t>
      </w:r>
      <w:r>
        <w:rPr>
          <w:sz w:val="20"/>
          <w:szCs w:val="20"/>
          <w:color w:val="auto"/>
        </w:rPr>
        <w:tab/>
      </w:r>
      <w:r>
        <w:rPr>
          <w:rFonts w:ascii="Times New Roman" w:cs="Times New Roman" w:eastAsia="Times New Roman" w:hAnsi="Times New Roman"/>
          <w:sz w:val="14"/>
          <w:szCs w:val="14"/>
          <w:b w:val="1"/>
          <w:bCs w:val="1"/>
          <w:color w:val="auto"/>
        </w:rPr>
        <w:t>Changed Circumstances; Benchmark Replacement.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3" w:lineRule="exact"/>
        <w:rPr>
          <w:sz w:val="20"/>
          <w:szCs w:val="20"/>
          <w:color w:val="auto"/>
        </w:rPr>
      </w:pPr>
    </w:p>
    <w:p>
      <w:pPr>
        <w:ind w:left="1160" w:hanging="304"/>
        <w:spacing w:after="0"/>
        <w:tabs>
          <w:tab w:leader="none" w:pos="1160" w:val="left"/>
        </w:tabs>
        <w:numPr>
          <w:ilvl w:val="0"/>
          <w:numId w:val="1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Changed Circumstances</w:t>
      </w:r>
      <w:r>
        <w:rPr>
          <w:rFonts w:ascii="Times New Roman" w:cs="Times New Roman" w:eastAsia="Times New Roman" w:hAnsi="Times New Roman"/>
          <w:sz w:val="14"/>
          <w:szCs w:val="14"/>
          <w:color w:val="auto"/>
        </w:rPr>
        <w:t>. Subject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clause (b)</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below, if prior to the commencement of any Interest Period for any Benchmark Rate Borrowing,</w:t>
      </w:r>
    </w:p>
    <w:p>
      <w:pPr>
        <w:spacing w:after="0" w:line="41" w:lineRule="exact"/>
        <w:rPr>
          <w:rFonts w:ascii="Times New Roman" w:cs="Times New Roman" w:eastAsia="Times New Roman" w:hAnsi="Times New Roman"/>
          <w:sz w:val="14"/>
          <w:szCs w:val="14"/>
          <w:b w:val="1"/>
          <w:bCs w:val="1"/>
          <w:color w:val="auto"/>
        </w:rPr>
      </w:pPr>
    </w:p>
    <w:p>
      <w:pPr>
        <w:ind w:left="860" w:right="20" w:firstLine="428"/>
        <w:spacing w:after="0" w:line="268" w:lineRule="auto"/>
        <w:tabs>
          <w:tab w:leader="none" w:pos="1609" w:val="left"/>
        </w:tabs>
        <w:numPr>
          <w:ilvl w:val="1"/>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Agent determines (which determination shall be conclusive and binding absent manifest error) in connection with any request for a Benchmark Rate Loan or a conversion to or continuation thereof or otherwise, that for any reason adequate and reasonable means do not exist for determining the applicable Benchmark for any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1300"/>
          </w:cols>
          <w:pgMar w:left="300" w:top="287" w:right="29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14"/>
          <w:szCs w:val="14"/>
          <w:color w:val="auto"/>
        </w:rPr>
        <w:t>requested Interest Period with respect to a proposed Benchmark Rate Loan or in connection with an existing or proposed Base Rate Borrowing (provided that no Benchmark Transition Event shall have occurred at such time); or</w:t>
      </w:r>
    </w:p>
    <w:p>
      <w:pPr>
        <w:ind w:left="4" w:firstLine="428"/>
        <w:spacing w:after="0" w:line="268" w:lineRule="auto"/>
        <w:tabs>
          <w:tab w:leader="none" w:pos="767"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Agent is advised by the Required Lenders that the applicable Benchmark for any requested Interest Period with respect to a proposed Benchmark Rate Loan will not adequately and fairly reflect the cost to such Lenders of funding or maintaining their Benchmark Rate Loans included in such Borrowing for such Interest Period,</w:t>
      </w:r>
    </w:p>
    <w:p>
      <w:pPr>
        <w:jc w:val="both"/>
        <w:ind w:left="4"/>
        <w:spacing w:after="0" w:line="248" w:lineRule="auto"/>
        <w:rPr>
          <w:sz w:val="20"/>
          <w:szCs w:val="20"/>
          <w:color w:val="auto"/>
        </w:rPr>
      </w:pPr>
      <w:r>
        <w:rPr>
          <w:rFonts w:ascii="Times New Roman" w:cs="Times New Roman" w:eastAsia="Times New Roman" w:hAnsi="Times New Roman"/>
          <w:sz w:val="14"/>
          <w:szCs w:val="14"/>
          <w:color w:val="auto"/>
        </w:rPr>
        <w:t>then Administrative Agent will promptly so notify the Borrower Representative and each Lender. Thereafter, (x) the obligation of Lenders to make or maintain Benchmark Rate Loans shall be suspended, and (y) in the event of a determination described in the preceding sentence with respect to the Benchmark rate component of the Base Rate, the utilization of the Benchmark rate component in determining the Base Rate shall be suspended, in each case until Administrative Agent (upon the instruction of the Required Lenders) revokes such notice. Upon receipt of such notice, the Borrower Representative may revoke any pending request for a Borrowing of, conversion to or continuation of Benchmark Rate Borrowings or, failing that, will be deemed to have converted such request into a request for a Base Rate Borrowing in the amount specified therein.</w:t>
      </w:r>
    </w:p>
    <w:p>
      <w:pPr>
        <w:spacing w:after="0" w:line="3" w:lineRule="exact"/>
        <w:rPr>
          <w:sz w:val="20"/>
          <w:szCs w:val="20"/>
          <w:color w:val="auto"/>
        </w:rPr>
      </w:pPr>
    </w:p>
    <w:p>
      <w:pPr>
        <w:ind w:left="324" w:hanging="324"/>
        <w:spacing w:after="0"/>
        <w:tabs>
          <w:tab w:leader="none" w:pos="324" w:val="left"/>
        </w:tabs>
        <w:numPr>
          <w:ilvl w:val="0"/>
          <w:numId w:val="1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Benchmark Replacement Setting</w:t>
      </w:r>
      <w:r>
        <w:rPr>
          <w:rFonts w:ascii="Times New Roman" w:cs="Times New Roman" w:eastAsia="Times New Roman" w:hAnsi="Times New Roman"/>
          <w:sz w:val="14"/>
          <w:szCs w:val="14"/>
          <w:color w:val="auto"/>
        </w:rPr>
        <w:t>.</w:t>
      </w:r>
    </w:p>
    <w:p>
      <w:pPr>
        <w:spacing w:after="0" w:line="37" w:lineRule="exact"/>
        <w:rPr>
          <w:rFonts w:ascii="Times New Roman" w:cs="Times New Roman" w:eastAsia="Times New Roman" w:hAnsi="Times New Roman"/>
          <w:sz w:val="14"/>
          <w:szCs w:val="14"/>
          <w:b w:val="1"/>
          <w:bCs w:val="1"/>
          <w:color w:val="auto"/>
        </w:rPr>
      </w:pPr>
    </w:p>
    <w:p>
      <w:pPr>
        <w:jc w:val="both"/>
        <w:ind w:left="4" w:firstLine="428"/>
        <w:spacing w:after="0" w:line="245" w:lineRule="auto"/>
        <w:tabs>
          <w:tab w:leader="none" w:pos="824" w:val="left"/>
        </w:tabs>
        <w:numPr>
          <w:ilvl w:val="1"/>
          <w:numId w:val="1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Benchmark Replacement</w:t>
      </w:r>
      <w:r>
        <w:rPr>
          <w:rFonts w:ascii="Times New Roman" w:cs="Times New Roman" w:eastAsia="Times New Roman" w:hAnsi="Times New Roman"/>
          <w:sz w:val="14"/>
          <w:szCs w:val="14"/>
          <w:color w:val="auto"/>
        </w:rPr>
        <w:t>. Notwithstanding anything to the contrary herein or in any other Loan Document, if a Benchmark Transition Event and its related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Benchmark Replacement Date have occurred prior to any setting of the then-current Benchmark, then (A) if a Benchmark Replacement is determined in accordance with </w:t>
      </w:r>
      <w:r>
        <w:rPr>
          <w:rFonts w:ascii="Times New Roman" w:cs="Times New Roman" w:eastAsia="Times New Roman" w:hAnsi="Times New Roman"/>
          <w:sz w:val="14"/>
          <w:szCs w:val="14"/>
          <w:b w:val="1"/>
          <w:bCs w:val="1"/>
          <w:i w:val="1"/>
          <w:iCs w:val="1"/>
          <w:color w:val="auto"/>
        </w:rPr>
        <w:t>clause (a)</w:t>
      </w:r>
      <w:r>
        <w:rPr>
          <w:rFonts w:ascii="Times New Roman" w:cs="Times New Roman" w:eastAsia="Times New Roman" w:hAnsi="Times New Roman"/>
          <w:sz w:val="14"/>
          <w:szCs w:val="14"/>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w:t>
      </w:r>
      <w:r>
        <w:rPr>
          <w:rFonts w:ascii="Times New Roman" w:cs="Times New Roman" w:eastAsia="Times New Roman" w:hAnsi="Times New Roman"/>
          <w:sz w:val="14"/>
          <w:szCs w:val="14"/>
          <w:b w:val="1"/>
          <w:bCs w:val="1"/>
          <w:i w:val="1"/>
          <w:iCs w:val="1"/>
          <w:color w:val="auto"/>
        </w:rPr>
        <w:t>clause (b)</w:t>
      </w:r>
      <w:r>
        <w:rPr>
          <w:rFonts w:ascii="Times New Roman" w:cs="Times New Roman" w:eastAsia="Times New Roman" w:hAnsi="Times New Roman"/>
          <w:sz w:val="14"/>
          <w:szCs w:val="14"/>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Administrative Agent has not received, by such time, written notice of objection to such Benchmark Replacement from Lenders comprising the Required Lenders.</w:t>
      </w:r>
    </w:p>
    <w:p>
      <w:pPr>
        <w:spacing w:after="0" w:line="5" w:lineRule="exact"/>
        <w:rPr>
          <w:rFonts w:ascii="Times New Roman" w:cs="Times New Roman" w:eastAsia="Times New Roman" w:hAnsi="Times New Roman"/>
          <w:sz w:val="14"/>
          <w:szCs w:val="14"/>
          <w:b w:val="1"/>
          <w:bCs w:val="1"/>
          <w:color w:val="auto"/>
        </w:rPr>
      </w:pPr>
    </w:p>
    <w:p>
      <w:pPr>
        <w:jc w:val="both"/>
        <w:ind w:left="4" w:firstLine="428"/>
        <w:spacing w:after="0" w:line="258" w:lineRule="auto"/>
        <w:tabs>
          <w:tab w:leader="none" w:pos="920" w:val="left"/>
        </w:tabs>
        <w:numPr>
          <w:ilvl w:val="1"/>
          <w:numId w:val="1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Benchmark Replacement Conforming Changes</w:t>
      </w:r>
      <w:r>
        <w:rPr>
          <w:rFonts w:ascii="Times New Roman" w:cs="Times New Roman" w:eastAsia="Times New Roman" w:hAnsi="Times New Roman"/>
          <w:sz w:val="14"/>
          <w:szCs w:val="14"/>
          <w:color w:val="auto"/>
        </w:rPr>
        <w:t>. In connection with the use, administration, adoption or implementation of a Benchmark Replacement,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64" w:lineRule="exact"/>
        <w:rPr>
          <w:rFonts w:ascii="Times New Roman" w:cs="Times New Roman" w:eastAsia="Times New Roman" w:hAnsi="Times New Roman"/>
          <w:sz w:val="14"/>
          <w:szCs w:val="14"/>
          <w:b w:val="1"/>
          <w:bCs w:val="1"/>
          <w:color w:val="auto"/>
        </w:rPr>
      </w:pPr>
    </w:p>
    <w:p>
      <w:pPr>
        <w:jc w:val="both"/>
        <w:ind w:left="4" w:firstLine="428"/>
        <w:spacing w:after="0" w:line="249" w:lineRule="auto"/>
        <w:tabs>
          <w:tab w:leader="none" w:pos="900" w:val="left"/>
        </w:tabs>
        <w:numPr>
          <w:ilvl w:val="1"/>
          <w:numId w:val="1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Notices; Standards for Decisions and Determinations</w:t>
      </w:r>
      <w:r>
        <w:rPr>
          <w:rFonts w:ascii="Times New Roman" w:cs="Times New Roman" w:eastAsia="Times New Roman" w:hAnsi="Times New Roman"/>
          <w:sz w:val="14"/>
          <w:szCs w:val="14"/>
          <w:color w:val="auto"/>
        </w:rPr>
        <w:t>. Administrative Agent will promptly notify the Borrower Representative and the Lenders of (A)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implementation of any Benchmark Replacement, (B) the effectiveness of any Conforming Changes in connection with the use, administration, adoption or implementation of a Benchmark Replacement, (C) the removal or reinstatement of any tenor of a Benchmark pursuant to </w:t>
      </w:r>
      <w:r>
        <w:rPr>
          <w:rFonts w:ascii="Times New Roman" w:cs="Times New Roman" w:eastAsia="Times New Roman" w:hAnsi="Times New Roman"/>
          <w:sz w:val="14"/>
          <w:szCs w:val="14"/>
          <w:b w:val="1"/>
          <w:bCs w:val="1"/>
          <w:i w:val="1"/>
          <w:iCs w:val="1"/>
          <w:color w:val="auto"/>
        </w:rPr>
        <w:t>clause (iv)</w:t>
      </w:r>
      <w:r>
        <w:rPr>
          <w:rFonts w:ascii="Times New Roman" w:cs="Times New Roman" w:eastAsia="Times New Roman" w:hAnsi="Times New Roman"/>
          <w:sz w:val="14"/>
          <w:szCs w:val="14"/>
          <w:color w:val="auto"/>
        </w:rPr>
        <w:t xml:space="preserve"> below and (D) the commencement of any Benchmark Unavailability Period. Any determination, decision or election that may be made by Administrative Agent or, if applicable, any Lender (or group of Lenders) pursuant to this </w:t>
      </w:r>
      <w:r>
        <w:rPr>
          <w:rFonts w:ascii="Times New Roman" w:cs="Times New Roman" w:eastAsia="Times New Roman" w:hAnsi="Times New Roman"/>
          <w:sz w:val="14"/>
          <w:szCs w:val="14"/>
          <w:b w:val="1"/>
          <w:bCs w:val="1"/>
          <w:i w:val="1"/>
          <w:iCs w:val="1"/>
          <w:color w:val="auto"/>
        </w:rPr>
        <w:t>Section 3.3(b)</w:t>
      </w:r>
      <w:r>
        <w:rPr>
          <w:rFonts w:ascii="Times New Roman" w:cs="Times New Roman" w:eastAsia="Times New Roman" w:hAnsi="Times New Roman"/>
          <w:sz w:val="14"/>
          <w:szCs w:val="14"/>
          <w:color w:val="auto"/>
        </w:rPr>
        <w:t>, including any determination with respect to a tenor, rate or adjustment or of the occurrence</w:t>
      </w:r>
    </w:p>
    <w:p>
      <w:pPr>
        <w:spacing w:after="0" w:line="382"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0444"/>
          </w:cols>
          <w:pgMar w:left="1156" w:top="287" w:right="29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4"/>
          <w:szCs w:val="14"/>
          <w:color w:val="auto"/>
        </w:rPr>
        <w:t xml:space="preserve">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4"/>
          <w:szCs w:val="14"/>
          <w:b w:val="1"/>
          <w:bCs w:val="1"/>
          <w:i w:val="1"/>
          <w:iCs w:val="1"/>
          <w:color w:val="auto"/>
        </w:rPr>
        <w:t>Section 3.3(b)</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jc w:val="both"/>
        <w:ind w:left="440" w:firstLine="428"/>
        <w:spacing w:after="0" w:line="245" w:lineRule="auto"/>
        <w:tabs>
          <w:tab w:leader="none" w:pos="1246" w:val="left"/>
        </w:tabs>
        <w:numPr>
          <w:ilvl w:val="0"/>
          <w:numId w:val="1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Unavailability of Tenor of Benchmark</w:t>
      </w:r>
      <w:r>
        <w:rPr>
          <w:rFonts w:ascii="Times New Roman" w:cs="Times New Roman" w:eastAsia="Times New Roman" w:hAnsi="Times New Roman"/>
          <w:sz w:val="14"/>
          <w:szCs w:val="14"/>
          <w:color w:val="auto"/>
        </w:rPr>
        <w:t>. Notwithstanding anything to the contrary herein or in any other Loan Document, at any time (including in connection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Administrative Agent in its reasonable discretion or (2) the regulatory supervisor for the administrator of such Benchmark has provided a public statement or publication of information announcing that any tenor for such Benchmark is not or will not be representative, then Administrative Agent may modify the definition of “Interest Period” for any Benchmark settings at or after such time to remove such unavailable or non-representative tenor and (B) if a tenor that was removed pursuant to </w:t>
      </w:r>
      <w:r>
        <w:rPr>
          <w:rFonts w:ascii="Times New Roman" w:cs="Times New Roman" w:eastAsia="Times New Roman" w:hAnsi="Times New Roman"/>
          <w:sz w:val="14"/>
          <w:szCs w:val="14"/>
          <w:b w:val="1"/>
          <w:bCs w:val="1"/>
          <w:i w:val="1"/>
          <w:iCs w:val="1"/>
          <w:color w:val="auto"/>
        </w:rPr>
        <w:t>clause (i)</w:t>
      </w:r>
      <w:r>
        <w:rPr>
          <w:rFonts w:ascii="Times New Roman" w:cs="Times New Roman" w:eastAsia="Times New Roman" w:hAnsi="Times New Roman"/>
          <w:sz w:val="14"/>
          <w:szCs w:val="14"/>
          <w:color w:val="auto"/>
        </w:rPr>
        <w:t xml:space="preserve">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Administrative Agent may modify the definition of “Interest Period” for all Benchmark settings at or after such time to reinstate such previously removed tenor.</w:t>
      </w:r>
    </w:p>
    <w:p>
      <w:pPr>
        <w:spacing w:after="0" w:line="170" w:lineRule="exact"/>
        <w:rPr>
          <w:rFonts w:ascii="Times New Roman" w:cs="Times New Roman" w:eastAsia="Times New Roman" w:hAnsi="Times New Roman"/>
          <w:sz w:val="14"/>
          <w:szCs w:val="14"/>
          <w:b w:val="1"/>
          <w:bCs w:val="1"/>
          <w:color w:val="auto"/>
        </w:rPr>
      </w:pPr>
    </w:p>
    <w:p>
      <w:pPr>
        <w:jc w:val="both"/>
        <w:ind w:left="440" w:firstLine="428"/>
        <w:spacing w:after="0" w:line="249" w:lineRule="auto"/>
        <w:tabs>
          <w:tab w:leader="none" w:pos="1196" w:val="left"/>
        </w:tabs>
        <w:numPr>
          <w:ilvl w:val="0"/>
          <w:numId w:val="1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Benchmark Unavailability Period</w:t>
      </w:r>
      <w:r>
        <w:rPr>
          <w:rFonts w:ascii="Times New Roman" w:cs="Times New Roman" w:eastAsia="Times New Roman" w:hAnsi="Times New Roman"/>
          <w:sz w:val="14"/>
          <w:szCs w:val="14"/>
          <w:color w:val="auto"/>
        </w:rPr>
        <w:t>. Upon the Borrower Representative’s receipt of notice of the commencement of a Benchmark Unavailability Period, the Borrower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Representative may revoke any pending request for a Benchmark Rate Borrowing of, conversion to or continuation of Benchmark Rate Loans to be made, converted or continued during any Benchmark Unavailability Period and, failing that, the Borrower Representative will be deemed to have converted any such request into a request for a Borrowing of or conversion to Base Rate Loans.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color w:val="auto"/>
        </w:rPr>
        <w:t>Section 3.4</w:t>
      </w:r>
      <w:r>
        <w:rPr>
          <w:sz w:val="20"/>
          <w:szCs w:val="20"/>
          <w:color w:val="auto"/>
        </w:rPr>
        <w:tab/>
      </w:r>
      <w:r>
        <w:rPr>
          <w:rFonts w:ascii="Times New Roman" w:cs="Times New Roman" w:eastAsia="Times New Roman" w:hAnsi="Times New Roman"/>
          <w:sz w:val="13"/>
          <w:szCs w:val="13"/>
          <w:b w:val="1"/>
          <w:bCs w:val="1"/>
          <w:u w:val="single" w:color="auto"/>
          <w:color w:val="auto"/>
        </w:rPr>
        <w:t>Taxes.</w:t>
      </w:r>
    </w:p>
    <w:p>
      <w:pPr>
        <w:spacing w:after="0" w:line="36" w:lineRule="exact"/>
        <w:rPr>
          <w:sz w:val="20"/>
          <w:szCs w:val="20"/>
          <w:color w:val="auto"/>
        </w:rPr>
      </w:pPr>
    </w:p>
    <w:p>
      <w:pPr>
        <w:ind w:left="740" w:hanging="304"/>
        <w:spacing w:after="0"/>
        <w:tabs>
          <w:tab w:leader="none" w:pos="740" w:val="left"/>
        </w:tabs>
        <w:numPr>
          <w:ilvl w:val="0"/>
          <w:numId w:val="1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Defined Terms</w:t>
      </w:r>
      <w:r>
        <w:rPr>
          <w:rFonts w:ascii="Times New Roman" w:cs="Times New Roman" w:eastAsia="Times New Roman" w:hAnsi="Times New Roman"/>
          <w:sz w:val="14"/>
          <w:szCs w:val="14"/>
          <w:color w:val="auto"/>
        </w:rPr>
        <w:t>. For purposes of this Section, the term “applicable Law” includes FATCA.</w:t>
      </w:r>
    </w:p>
    <w:p>
      <w:pPr>
        <w:spacing w:after="0" w:line="37" w:lineRule="exact"/>
        <w:rPr>
          <w:rFonts w:ascii="Times New Roman" w:cs="Times New Roman" w:eastAsia="Times New Roman" w:hAnsi="Times New Roman"/>
          <w:sz w:val="14"/>
          <w:szCs w:val="14"/>
          <w:b w:val="1"/>
          <w:bCs w:val="1"/>
          <w:color w:val="auto"/>
        </w:rPr>
      </w:pPr>
    </w:p>
    <w:p>
      <w:pPr>
        <w:jc w:val="both"/>
        <w:ind w:firstLine="436"/>
        <w:spacing w:after="0" w:line="250" w:lineRule="auto"/>
        <w:tabs>
          <w:tab w:leader="none" w:pos="825"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Payment Free of Taxes</w:t>
      </w:r>
      <w:r>
        <w:rPr>
          <w:rFonts w:ascii="Times New Roman" w:cs="Times New Roman" w:eastAsia="Times New Roman" w:hAnsi="Times New Roman"/>
          <w:sz w:val="14"/>
          <w:szCs w:val="14"/>
          <w:color w:val="auto"/>
        </w:rPr>
        <w:t>. Any and all payments by or on account of any obligation of any Loan Party under any Loan Document shall be made without deduction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4"/>
          <w:szCs w:val="14"/>
          <w:b w:val="1"/>
          <w:bCs w:val="1"/>
          <w:i w:val="1"/>
          <w:iCs w:val="1"/>
          <w:color w:val="auto"/>
        </w:rPr>
        <w:t>Section 3.4</w:t>
      </w:r>
      <w:r>
        <w:rPr>
          <w:rFonts w:ascii="Times New Roman" w:cs="Times New Roman" w:eastAsia="Times New Roman" w:hAnsi="Times New Roman"/>
          <w:sz w:val="14"/>
          <w:szCs w:val="14"/>
          <w:color w:val="auto"/>
        </w:rPr>
        <w:t>) the applicable Recipient receives an amount equal to the sum it would have received had no such deduction or withholding been made.</w:t>
      </w:r>
    </w:p>
    <w:p>
      <w:pPr>
        <w:spacing w:after="0" w:line="1" w:lineRule="exact"/>
        <w:rPr>
          <w:rFonts w:ascii="Times New Roman" w:cs="Times New Roman" w:eastAsia="Times New Roman" w:hAnsi="Times New Roman"/>
          <w:sz w:val="14"/>
          <w:szCs w:val="14"/>
          <w:color w:val="auto"/>
        </w:rPr>
      </w:pPr>
    </w:p>
    <w:p>
      <w:pPr>
        <w:ind w:firstLine="436"/>
        <w:spacing w:after="0" w:line="285" w:lineRule="auto"/>
        <w:tabs>
          <w:tab w:leader="none" w:pos="749" w:val="left"/>
        </w:tabs>
        <w:numPr>
          <w:ilvl w:val="0"/>
          <w:numId w:val="1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Payment of Other Taxes by the Loan Parties</w:t>
      </w:r>
      <w:r>
        <w:rPr>
          <w:rFonts w:ascii="Times New Roman" w:cs="Times New Roman" w:eastAsia="Times New Roman" w:hAnsi="Times New Roman"/>
          <w:sz w:val="14"/>
          <w:szCs w:val="14"/>
          <w:color w:val="auto"/>
        </w:rPr>
        <w:t>. The Loan Parties shall timely pay to the relevant Governmental Authority in accordance with applicable Law, or at the option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Administrative Agent timely reimburse it for the payment of, any Other Taxes.</w:t>
      </w:r>
    </w:p>
    <w:p>
      <w:pPr>
        <w:spacing w:after="0" w:line="34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0880"/>
          </w:cols>
          <w:pgMar w:left="720" w:top="287" w:right="29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5" w:lineRule="exact"/>
        <w:rPr>
          <w:sz w:val="20"/>
          <w:szCs w:val="20"/>
          <w:color w:val="auto"/>
        </w:rPr>
      </w:pPr>
    </w:p>
    <w:p>
      <w:pPr>
        <w:jc w:val="both"/>
        <w:ind w:firstLine="436"/>
        <w:spacing w:after="0" w:line="252" w:lineRule="auto"/>
        <w:tabs>
          <w:tab w:leader="none" w:pos="770" w:val="left"/>
        </w:tabs>
        <w:numPr>
          <w:ilvl w:val="0"/>
          <w:numId w:val="1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Indemnification by the Loan Parties</w:t>
      </w:r>
      <w:r>
        <w:rPr>
          <w:rFonts w:ascii="Times New Roman" w:cs="Times New Roman" w:eastAsia="Times New Roman" w:hAnsi="Times New Roman"/>
          <w:sz w:val="14"/>
          <w:szCs w:val="14"/>
          <w:color w:val="auto"/>
        </w:rPr>
        <w:t>. The Loan Parties shall jointly and severally indemnify each Recipient, within ten (10) days after demand therefor, for the full amount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of any Indemnified Taxes (including Indemnified Taxes imposed or asserted on or attributable to amounts payable under this </w:t>
      </w:r>
      <w:r>
        <w:rPr>
          <w:rFonts w:ascii="Times New Roman" w:cs="Times New Roman" w:eastAsia="Times New Roman" w:hAnsi="Times New Roman"/>
          <w:sz w:val="14"/>
          <w:szCs w:val="14"/>
          <w:b w:val="1"/>
          <w:bCs w:val="1"/>
          <w:i w:val="1"/>
          <w:iCs w:val="1"/>
          <w:color w:val="auto"/>
        </w:rPr>
        <w:t>Section 3.4</w:t>
      </w:r>
      <w:r>
        <w:rPr>
          <w:rFonts w:ascii="Times New Roman" w:cs="Times New Roman" w:eastAsia="Times New Roman" w:hAnsi="Times New Roman"/>
          <w:sz w:val="14"/>
          <w:szCs w:val="14"/>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Representative by a Lender (with a copy to Administrative Agent), or by Administrative Agent on its own behalf or on behalf of a Lender, shall be conclusive absent manifest error.</w:t>
      </w:r>
    </w:p>
    <w:p>
      <w:pPr>
        <w:jc w:val="both"/>
        <w:ind w:firstLine="436"/>
        <w:spacing w:after="0" w:line="245" w:lineRule="auto"/>
        <w:tabs>
          <w:tab w:leader="none" w:pos="826" w:val="left"/>
        </w:tabs>
        <w:numPr>
          <w:ilvl w:val="0"/>
          <w:numId w:val="1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Indemnification by Lenders</w:t>
      </w:r>
      <w:r>
        <w:rPr>
          <w:rFonts w:ascii="Times New Roman" w:cs="Times New Roman" w:eastAsia="Times New Roman" w:hAnsi="Times New Roman"/>
          <w:sz w:val="14"/>
          <w:szCs w:val="14"/>
          <w:color w:val="auto"/>
        </w:rPr>
        <w:t>. Each Lender shall severally indemnify Administrative Agent, within ten (10) days after demand therefor, for (i) any Indemnified Taxes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attributable to such Lender (but only to the extent that any Loan Party has not already indemnified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14"/>
          <w:szCs w:val="14"/>
          <w:b w:val="1"/>
          <w:bCs w:val="1"/>
          <w:i w:val="1"/>
          <w:iCs w:val="1"/>
          <w:color w:val="auto"/>
        </w:rPr>
        <w:t>Section 11.8</w:t>
      </w:r>
      <w:r>
        <w:rPr>
          <w:rFonts w:ascii="Times New Roman" w:cs="Times New Roman" w:eastAsia="Times New Roman" w:hAnsi="Times New Roman"/>
          <w:sz w:val="14"/>
          <w:szCs w:val="14"/>
          <w:color w:val="auto"/>
        </w:rPr>
        <w:t xml:space="preserve"> relating to the maintenance of a Participant Register and (iii) any Excluded Taxes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Loan Document or otherwise payable by Administrative Agent to such Lender from any other source against any amount due to Administrative Agent under this </w:t>
      </w:r>
      <w:r>
        <w:rPr>
          <w:rFonts w:ascii="Times New Roman" w:cs="Times New Roman" w:eastAsia="Times New Roman" w:hAnsi="Times New Roman"/>
          <w:sz w:val="14"/>
          <w:szCs w:val="14"/>
          <w:b w:val="1"/>
          <w:bCs w:val="1"/>
          <w:i w:val="1"/>
          <w:iCs w:val="1"/>
          <w:color w:val="auto"/>
        </w:rPr>
        <w:t>Section 3.4(e)</w:t>
      </w:r>
      <w:r>
        <w:rPr>
          <w:rFonts w:ascii="Times New Roman" w:cs="Times New Roman" w:eastAsia="Times New Roman" w:hAnsi="Times New Roman"/>
          <w:sz w:val="14"/>
          <w:szCs w:val="14"/>
          <w:color w:val="auto"/>
        </w:rPr>
        <w:t>.</w:t>
      </w:r>
    </w:p>
    <w:p>
      <w:pPr>
        <w:spacing w:after="0" w:line="6" w:lineRule="exact"/>
        <w:rPr>
          <w:rFonts w:ascii="Times New Roman" w:cs="Times New Roman" w:eastAsia="Times New Roman" w:hAnsi="Times New Roman"/>
          <w:sz w:val="14"/>
          <w:szCs w:val="14"/>
          <w:b w:val="1"/>
          <w:bCs w:val="1"/>
          <w:color w:val="auto"/>
        </w:rPr>
      </w:pPr>
    </w:p>
    <w:p>
      <w:pPr>
        <w:jc w:val="both"/>
        <w:ind w:firstLine="436"/>
        <w:spacing w:after="0" w:line="260" w:lineRule="auto"/>
        <w:tabs>
          <w:tab w:leader="none" w:pos="732" w:val="left"/>
        </w:tabs>
        <w:numPr>
          <w:ilvl w:val="0"/>
          <w:numId w:val="1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Evidence of Payments</w:t>
      </w:r>
      <w:r>
        <w:rPr>
          <w:rFonts w:ascii="Times New Roman" w:cs="Times New Roman" w:eastAsia="Times New Roman" w:hAnsi="Times New Roman"/>
          <w:sz w:val="14"/>
          <w:szCs w:val="14"/>
          <w:color w:val="auto"/>
        </w:rPr>
        <w:t>. As soon as practicable after any payment of Taxes by any Loan Party to a Governmental Authority pursuant to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3.4</w:t>
      </w:r>
      <w:r>
        <w:rPr>
          <w:rFonts w:ascii="Times New Roman" w:cs="Times New Roman" w:eastAsia="Times New Roman" w:hAnsi="Times New Roman"/>
          <w:sz w:val="14"/>
          <w:szCs w:val="14"/>
          <w:color w:val="auto"/>
        </w:rPr>
        <w:t>, such Loan Party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deliver to Administrative Agent the original or a certified copy of a receipt issued by such Governmental Authority evidencing such payment, a copy of the return reporting such payment or other evidence of such payment reasonably satisfactory to Administrative Agent.</w:t>
      </w:r>
    </w:p>
    <w:p>
      <w:pPr>
        <w:ind w:left="740" w:hanging="304"/>
        <w:spacing w:after="0"/>
        <w:tabs>
          <w:tab w:leader="none" w:pos="740" w:val="left"/>
        </w:tabs>
        <w:numPr>
          <w:ilvl w:val="0"/>
          <w:numId w:val="1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Status of Lenders</w:t>
      </w:r>
      <w:r>
        <w:rPr>
          <w:rFonts w:ascii="Times New Roman" w:cs="Times New Roman" w:eastAsia="Times New Roman" w:hAnsi="Times New Roman"/>
          <w:sz w:val="14"/>
          <w:szCs w:val="14"/>
          <w:color w:val="auto"/>
        </w:rPr>
        <w:t>.</w:t>
      </w:r>
    </w:p>
    <w:p>
      <w:pPr>
        <w:spacing w:after="0" w:line="30" w:lineRule="exact"/>
        <w:rPr>
          <w:rFonts w:ascii="Times New Roman" w:cs="Times New Roman" w:eastAsia="Times New Roman" w:hAnsi="Times New Roman"/>
          <w:sz w:val="14"/>
          <w:szCs w:val="14"/>
          <w:b w:val="1"/>
          <w:bCs w:val="1"/>
          <w:color w:val="auto"/>
        </w:rPr>
      </w:pPr>
    </w:p>
    <w:p>
      <w:pPr>
        <w:jc w:val="both"/>
        <w:ind w:left="440" w:firstLine="428"/>
        <w:spacing w:after="0" w:line="246" w:lineRule="auto"/>
        <w:tabs>
          <w:tab w:leader="none" w:pos="1216" w:val="left"/>
        </w:tabs>
        <w:numPr>
          <w:ilvl w:val="1"/>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Lender that is entitled to an exemption from or reduction of withholding Tax with respect to payments made under any Loan Document shall deliver to the Borrower Representative and Administrative Agent, at the time or times reasonably requested by the Borrower Representative or Administrative Agent, such properly completed and executed documentation reasonably requested by the Borrower Representative or Administrative Agent as will permit such payments to be made without withholding or at a reduced rate of withholding. In addition, any Lender, if reasonably requested by the Borrower Representative or Administrative Agent, shall deliver such other documentation prescribed by applicable Law or reasonably requested by the Borrower Representative or Administrative Agent as will enable the Borrower Representative or Administrative Agent to determine whether or not such Lender is subject to backup withholding or information reporting requirements. Notwithstanding anything to the contrary in the preceding two (2) sentences, the completion, execution and submission of such documentation (other than such documentation set forth in </w:t>
      </w:r>
      <w:r>
        <w:rPr>
          <w:rFonts w:ascii="Times New Roman" w:cs="Times New Roman" w:eastAsia="Times New Roman" w:hAnsi="Times New Roman"/>
          <w:sz w:val="14"/>
          <w:szCs w:val="14"/>
          <w:b w:val="1"/>
          <w:bCs w:val="1"/>
          <w:i w:val="1"/>
          <w:iCs w:val="1"/>
          <w:color w:val="auto"/>
        </w:rPr>
        <w:t>Section 3.4(g)(ii)(A)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(ii)(B)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(ii)(D)</w:t>
      </w:r>
      <w:r>
        <w:rPr>
          <w:rFonts w:ascii="Times New Roman" w:cs="Times New Roman" w:eastAsia="Times New Roman" w:hAnsi="Times New Roman"/>
          <w:sz w:val="14"/>
          <w:szCs w:val="14"/>
          <w:color w:val="auto"/>
        </w:rPr>
        <w:t xml:space="preserve"> below)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8" w:lineRule="exact"/>
        <w:rPr>
          <w:rFonts w:ascii="Times New Roman" w:cs="Times New Roman" w:eastAsia="Times New Roman" w:hAnsi="Times New Roman"/>
          <w:sz w:val="14"/>
          <w:szCs w:val="14"/>
          <w:color w:val="auto"/>
        </w:rPr>
      </w:pPr>
    </w:p>
    <w:p>
      <w:pPr>
        <w:ind w:left="1180" w:hanging="312"/>
        <w:spacing w:after="0"/>
        <w:tabs>
          <w:tab w:leader="none" w:pos="1180" w:val="left"/>
        </w:tabs>
        <w:numPr>
          <w:ilvl w:val="1"/>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the foregoing,</w:t>
      </w: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0880"/>
          </w:cols>
          <w:pgMar w:left="720" w:top="287" w:right="29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140" w:firstLine="440"/>
        <w:spacing w:after="0" w:line="259" w:lineRule="auto"/>
        <w:tabs>
          <w:tab w:leader="none" w:pos="9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Lender that is a U.S. Person shall deliver to the Borrower Representative and Administrative Agent on or prior to the date on which such Lender becomes a Lender under this Agreement (and from time to time thereafter upon the reasonable request of the Borrower Representative or Administrative Agent), executed copies of IRS Form W-9 certifying that such Lender is exempt from U.S. federal backup withholding tax;</w:t>
      </w:r>
    </w:p>
    <w:p>
      <w:pPr>
        <w:jc w:val="both"/>
        <w:ind w:left="140" w:firstLine="440"/>
        <w:spacing w:after="0" w:line="254" w:lineRule="auto"/>
        <w:tabs>
          <w:tab w:leader="none" w:pos="90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Foreign Lender shall, to the extent it is legally entitled to do so, deliver to the Borrower Representative and Administrative Agent (in such number of copies as shall be requested by the recipient) on or prior to the date on which such Foreign Lender becomes a Lender under this Agreement (and from time to time thereafter upon the reasonable request of the Borrower Representative or Administrative Agent), whichever of the following is applicable:</w:t>
      </w:r>
    </w:p>
    <w:p>
      <w:pPr>
        <w:spacing w:after="0" w:line="1" w:lineRule="exact"/>
        <w:rPr>
          <w:rFonts w:ascii="Times New Roman" w:cs="Times New Roman" w:eastAsia="Times New Roman" w:hAnsi="Times New Roman"/>
          <w:sz w:val="14"/>
          <w:szCs w:val="14"/>
          <w:color w:val="auto"/>
        </w:rPr>
      </w:pPr>
    </w:p>
    <w:p>
      <w:pPr>
        <w:jc w:val="both"/>
        <w:ind w:left="580" w:firstLine="432"/>
        <w:spacing w:after="0" w:line="168" w:lineRule="exact"/>
        <w:tabs>
          <w:tab w:leader="none" w:pos="1326"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Foreign Lender claiming the benefits of an income tax treaty to which the United States is a party (x) with respect to payments of interest under any Loan Document, executed copies of IRS Form 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8BEN (or IRS Form W-8BEN-E, if applicable) establishing an exemption from, or reduction of, U.S. federal withholding Tax pursuant to the “interest” article of such tax treaty and (y) with respect to any other applicable payments under any Loan Document, IRS Form W-8BEN (or IRS Form W-8BEN-E, if applicable) establishing an exemption from, or reduction of, U.S. federal withholding Tax pursuant to the “business profits” or “other income” article of such tax treaty;</w:t>
      </w:r>
    </w:p>
    <w:p>
      <w:pPr>
        <w:spacing w:after="0" w:line="10" w:lineRule="exact"/>
        <w:rPr>
          <w:rFonts w:ascii="Times New Roman" w:cs="Times New Roman" w:eastAsia="Times New Roman" w:hAnsi="Times New Roman"/>
          <w:sz w:val="14"/>
          <w:szCs w:val="14"/>
          <w:color w:val="auto"/>
        </w:rPr>
      </w:pPr>
    </w:p>
    <w:p>
      <w:pPr>
        <w:ind w:left="1320" w:hanging="308"/>
        <w:spacing w:after="0"/>
        <w:tabs>
          <w:tab w:leader="none" w:pos="132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executed copies of IRS Form W-8ECI;</w:t>
      </w:r>
    </w:p>
    <w:p>
      <w:pPr>
        <w:spacing w:after="0" w:line="37" w:lineRule="exact"/>
        <w:rPr>
          <w:rFonts w:ascii="Times New Roman" w:cs="Times New Roman" w:eastAsia="Times New Roman" w:hAnsi="Times New Roman"/>
          <w:sz w:val="14"/>
          <w:szCs w:val="14"/>
          <w:color w:val="auto"/>
        </w:rPr>
      </w:pPr>
    </w:p>
    <w:p>
      <w:pPr>
        <w:jc w:val="both"/>
        <w:ind w:left="580" w:firstLine="432"/>
        <w:spacing w:after="0" w:line="249" w:lineRule="auto"/>
        <w:tabs>
          <w:tab w:leader="none" w:pos="1420" w:val="left"/>
        </w:tabs>
        <w:numPr>
          <w:ilvl w:val="1"/>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4"/>
          <w:szCs w:val="14"/>
          <w:b w:val="1"/>
          <w:bCs w:val="1"/>
          <w:i w:val="1"/>
          <w:iCs w:val="1"/>
          <w:color w:val="auto"/>
        </w:rPr>
        <w:t>Exhibit G-1</w:t>
      </w:r>
      <w:r>
        <w:rPr>
          <w:rFonts w:ascii="Times New Roman" w:cs="Times New Roman" w:eastAsia="Times New Roman" w:hAnsi="Times New Roman"/>
          <w:sz w:val="14"/>
          <w:szCs w:val="14"/>
          <w:color w:val="auto"/>
        </w:rPr>
        <w:t xml:space="preserve"> to the effect that such Foreign Lender is not a “bank” within the meaning of Section 881(c)(3)(A) of the Code, a “10 percent shareholder” of any Borrower within the meaning of Section 881(c)(3)(B) of the Code, or a </w:t>
      </w:r>
      <w:r>
        <w:rPr>
          <w:rFonts w:ascii="Times New Roman" w:cs="Times New Roman" w:eastAsia="Times New Roman" w:hAnsi="Times New Roman"/>
          <w:sz w:val="14"/>
          <w:szCs w:val="14"/>
          <w:i w:val="1"/>
          <w:iCs w:val="1"/>
          <w:color w:val="auto"/>
        </w:rPr>
        <w:t>“controlled foreign corporation”</w:t>
      </w:r>
      <w:r>
        <w:rPr>
          <w:rFonts w:ascii="Times New Roman" w:cs="Times New Roman" w:eastAsia="Times New Roman" w:hAnsi="Times New Roman"/>
          <w:sz w:val="14"/>
          <w:szCs w:val="14"/>
          <w:color w:val="auto"/>
        </w:rPr>
        <w:t xml:space="preserve"> described in Section 881(c)(3)(C</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of the</w:t>
      </w:r>
    </w:p>
    <w:p>
      <w:pPr>
        <w:spacing w:after="0" w:line="1" w:lineRule="exact"/>
        <w:rPr>
          <w:sz w:val="20"/>
          <w:szCs w:val="20"/>
          <w:color w:val="auto"/>
        </w:rPr>
      </w:pPr>
    </w:p>
    <w:p>
      <w:pPr>
        <w:jc w:val="both"/>
        <w:ind w:left="580"/>
        <w:spacing w:after="0" w:line="162" w:lineRule="exact"/>
        <w:rPr>
          <w:sz w:val="20"/>
          <w:szCs w:val="20"/>
          <w:color w:val="auto"/>
        </w:rPr>
      </w:pPr>
      <w:r>
        <w:rPr>
          <w:rFonts w:ascii="Times New Roman" w:cs="Times New Roman" w:eastAsia="Times New Roman" w:hAnsi="Times New Roman"/>
          <w:sz w:val="14"/>
          <w:szCs w:val="14"/>
          <w:color w:val="auto"/>
        </w:rPr>
        <w:t>Code (a “</w:t>
      </w:r>
      <w:r>
        <w:rPr>
          <w:rFonts w:ascii="Times New Roman" w:cs="Times New Roman" w:eastAsia="Times New Roman" w:hAnsi="Times New Roman"/>
          <w:sz w:val="14"/>
          <w:szCs w:val="14"/>
          <w:b w:val="1"/>
          <w:bCs w:val="1"/>
          <w:i w:val="1"/>
          <w:iCs w:val="1"/>
          <w:color w:val="auto"/>
        </w:rPr>
        <w:t>U.S. Tax Compliance Certificate</w:t>
      </w:r>
      <w:r>
        <w:rPr>
          <w:rFonts w:ascii="Times New Roman" w:cs="Times New Roman" w:eastAsia="Times New Roman" w:hAnsi="Times New Roman"/>
          <w:sz w:val="14"/>
          <w:szCs w:val="14"/>
          <w:color w:val="auto"/>
        </w:rPr>
        <w:t>”) and (y) executed copies of IRS Form W-8BEN (or IRS Form W-8BEN-E, if applicable); or (4) to the extent a Foreign Lender is not the beneficial owner, executed copies of IRS Form W-8IMY, accompanied by IRS Form W-8ECI, IRS Form W-8BEN (or IRS Form 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8BEN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E, if applicable), a U.S. Tax Compliance Certificate substantially in the form of </w:t>
      </w:r>
      <w:r>
        <w:rPr>
          <w:rFonts w:ascii="Times New Roman" w:cs="Times New Roman" w:eastAsia="Times New Roman" w:hAnsi="Times New Roman"/>
          <w:sz w:val="14"/>
          <w:szCs w:val="14"/>
          <w:b w:val="1"/>
          <w:bCs w:val="1"/>
          <w:i w:val="1"/>
          <w:iCs w:val="1"/>
          <w:color w:val="auto"/>
        </w:rPr>
        <w:t>Exhibit G</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Exhibit G</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3</w:t>
      </w:r>
      <w:r>
        <w:rPr>
          <w:rFonts w:ascii="Times New Roman" w:cs="Times New Roman" w:eastAsia="Times New Roman" w:hAnsi="Times New Roman"/>
          <w:sz w:val="14"/>
          <w:szCs w:val="14"/>
          <w:color w:val="auto"/>
        </w:rPr>
        <w:t>, IRS Form 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9, and/or other certification documents from each beneficial owner, as applicable;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4"/>
          <w:szCs w:val="14"/>
          <w:b w:val="1"/>
          <w:bCs w:val="1"/>
          <w:i w:val="1"/>
          <w:iCs w:val="1"/>
          <w:color w:val="auto"/>
        </w:rPr>
        <w:t>Exhibit G</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4</w:t>
      </w:r>
      <w:r>
        <w:rPr>
          <w:rFonts w:ascii="Times New Roman" w:cs="Times New Roman" w:eastAsia="Times New Roman" w:hAnsi="Times New Roman"/>
          <w:sz w:val="14"/>
          <w:szCs w:val="14"/>
          <w:color w:val="auto"/>
        </w:rPr>
        <w:t xml:space="preserve"> on behalf of each such direct and indirect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-379095</wp:posOffset>
            </wp:positionV>
            <wp:extent cx="55880"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80" cy="36195"/>
                    </a:xfrm>
                    <a:prstGeom prst="rect">
                      <a:avLst/>
                    </a:prstGeom>
                    <a:noFill/>
                  </pic:spPr>
                </pic:pic>
              </a:graphicData>
            </a:graphic>
          </wp:anchor>
        </w:drawing>
        <w:drawing>
          <wp:anchor simplePos="0" relativeHeight="251657728" behindDoc="1" locked="0" layoutInCell="0" allowOverlap="1">
            <wp:simplePos x="0" y="0"/>
            <wp:positionH relativeFrom="column">
              <wp:posOffset>4140835</wp:posOffset>
            </wp:positionH>
            <wp:positionV relativeFrom="paragraph">
              <wp:posOffset>-379095</wp:posOffset>
            </wp:positionV>
            <wp:extent cx="55880"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80" cy="36195"/>
                    </a:xfrm>
                    <a:prstGeom prst="rect">
                      <a:avLst/>
                    </a:prstGeom>
                    <a:noFill/>
                  </pic:spPr>
                </pic:pic>
              </a:graphicData>
            </a:graphic>
          </wp:anchor>
        </w:drawing>
        <w:drawing>
          <wp:anchor simplePos="0" relativeHeight="251657728" behindDoc="1" locked="0" layoutInCell="0" allowOverlap="1">
            <wp:simplePos x="0" y="0"/>
            <wp:positionH relativeFrom="column">
              <wp:posOffset>5885180</wp:posOffset>
            </wp:positionH>
            <wp:positionV relativeFrom="paragraph">
              <wp:posOffset>-173355</wp:posOffset>
            </wp:positionV>
            <wp:extent cx="55880" cy="3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jc w:val="both"/>
        <w:ind w:left="140" w:firstLine="440"/>
        <w:spacing w:after="0" w:line="251" w:lineRule="auto"/>
        <w:tabs>
          <w:tab w:leader="none" w:pos="908"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Foreign Lender shall, to the extent it is legally entitled to do so, deliver to the Borrower Representative and Administrative Agent (in such number of copies as shall be requested by the recipient) on or prior to the date on which such Foreign Lender becomes a Lender under this Agreement (and from time to time thereafter upon the reasonable request of the Borrower Representative or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Representative or</w:t>
      </w:r>
    </w:p>
    <w:p>
      <w:pPr>
        <w:spacing w:after="0" w:line="37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0160"/>
          </w:cols>
          <w:pgMar w:left="1440" w:top="287" w:right="29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Administrative Agent to determine the withholding or deduction required to be made; and</w:t>
      </w:r>
    </w:p>
    <w:p>
      <w:pPr>
        <w:spacing w:after="0" w:line="37" w:lineRule="exact"/>
        <w:rPr>
          <w:sz w:val="20"/>
          <w:szCs w:val="20"/>
          <w:color w:val="auto"/>
        </w:rPr>
      </w:pPr>
    </w:p>
    <w:p>
      <w:pPr>
        <w:jc w:val="both"/>
        <w:ind w:left="1280" w:firstLine="440"/>
        <w:spacing w:after="0" w:line="245" w:lineRule="auto"/>
        <w:tabs>
          <w:tab w:leader="none" w:pos="2073"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Administrative Agent at the time or times prescribed by Law and at such time or times reasonably requested by the Borrower Representative or Administrative Agent such documentation prescribed by applicable Law (including as prescribed by Section 1471(b)(3)(C)(i) of the Code) and such additional documentation reasonably requested by the Borrower Representative or Administrative Agent as may be necessary for the Borrower Representative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4"/>
          <w:szCs w:val="14"/>
          <w:b w:val="1"/>
          <w:bCs w:val="1"/>
          <w:i w:val="1"/>
          <w:iCs w:val="1"/>
          <w:color w:val="auto"/>
        </w:rPr>
        <w:t>clause (D)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FATCA</w:t>
      </w:r>
      <w:r>
        <w:rPr>
          <w:rFonts w:ascii="Times New Roman" w:cs="Times New Roman" w:eastAsia="Times New Roman" w:hAnsi="Times New Roman"/>
          <w:sz w:val="14"/>
          <w:szCs w:val="14"/>
          <w:color w:val="auto"/>
        </w:rPr>
        <w:t>” shall include any amendments made to FATCA after the date of this Agreement.</w:t>
      </w:r>
    </w:p>
    <w:p>
      <w:pPr>
        <w:spacing w:after="0" w:line="173" w:lineRule="exact"/>
        <w:rPr>
          <w:sz w:val="20"/>
          <w:szCs w:val="20"/>
          <w:color w:val="auto"/>
        </w:rPr>
      </w:pPr>
    </w:p>
    <w:p>
      <w:pPr>
        <w:ind w:left="1280" w:right="20"/>
        <w:spacing w:after="0" w:line="266" w:lineRule="auto"/>
        <w:rPr>
          <w:sz w:val="20"/>
          <w:szCs w:val="20"/>
          <w:color w:val="auto"/>
        </w:rPr>
      </w:pPr>
      <w:r>
        <w:rPr>
          <w:rFonts w:ascii="Times New Roman" w:cs="Times New Roman" w:eastAsia="Times New Roman" w:hAnsi="Times New Roman"/>
          <w:sz w:val="14"/>
          <w:szCs w:val="14"/>
          <w:color w:val="auto"/>
        </w:rPr>
        <w:t>Each Lender agrees that if any form or certification it previously delivered expires or becomes obsolete or inaccurate in any respect, it shall update such form or certification or promptly notify the Borrower Representative and Administrative Agent in writing of its legal inability to do so.</w:t>
      </w:r>
    </w:p>
    <w:p>
      <w:pPr>
        <w:spacing w:after="0" w:line="1" w:lineRule="exact"/>
        <w:rPr>
          <w:sz w:val="20"/>
          <w:szCs w:val="20"/>
          <w:color w:val="auto"/>
        </w:rPr>
      </w:pPr>
    </w:p>
    <w:p>
      <w:pPr>
        <w:jc w:val="both"/>
        <w:ind w:left="420" w:firstLine="436"/>
        <w:spacing w:after="0" w:line="244" w:lineRule="auto"/>
        <w:tabs>
          <w:tab w:leader="none" w:pos="1226" w:val="left"/>
        </w:tabs>
        <w:numPr>
          <w:ilvl w:val="0"/>
          <w:numId w:val="1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Treatment of Certain Refunds</w:t>
      </w:r>
      <w:r>
        <w:rPr>
          <w:rFonts w:ascii="Times New Roman" w:cs="Times New Roman" w:eastAsia="Times New Roman" w:hAnsi="Times New Roman"/>
          <w:sz w:val="14"/>
          <w:szCs w:val="14"/>
          <w:color w:val="auto"/>
        </w:rPr>
        <w:t>. If any party determines, in its sole discretion exercised in good faith, that it has received a refund of any Taxes as to which it has been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indemnified pursuant to this </w:t>
      </w:r>
      <w:r>
        <w:rPr>
          <w:rFonts w:ascii="Times New Roman" w:cs="Times New Roman" w:eastAsia="Times New Roman" w:hAnsi="Times New Roman"/>
          <w:sz w:val="14"/>
          <w:szCs w:val="14"/>
          <w:b w:val="1"/>
          <w:bCs w:val="1"/>
          <w:i w:val="1"/>
          <w:iCs w:val="1"/>
          <w:color w:val="auto"/>
        </w:rPr>
        <w:t>Section 3.4</w:t>
      </w:r>
      <w:r>
        <w:rPr>
          <w:rFonts w:ascii="Times New Roman" w:cs="Times New Roman" w:eastAsia="Times New Roman" w:hAnsi="Times New Roman"/>
          <w:sz w:val="14"/>
          <w:szCs w:val="14"/>
          <w:color w:val="auto"/>
        </w:rPr>
        <w:t xml:space="preserve"> (including by the payment of additional amounts pursuant to this </w:t>
      </w:r>
      <w:r>
        <w:rPr>
          <w:rFonts w:ascii="Times New Roman" w:cs="Times New Roman" w:eastAsia="Times New Roman" w:hAnsi="Times New Roman"/>
          <w:sz w:val="14"/>
          <w:szCs w:val="14"/>
          <w:b w:val="1"/>
          <w:bCs w:val="1"/>
          <w:i w:val="1"/>
          <w:iCs w:val="1"/>
          <w:color w:val="auto"/>
        </w:rPr>
        <w:t>Section 3.4</w:t>
      </w:r>
      <w:r>
        <w:rPr>
          <w:rFonts w:ascii="Times New Roman" w:cs="Times New Roman" w:eastAsia="Times New Roman" w:hAnsi="Times New Roman"/>
          <w:sz w:val="14"/>
          <w:szCs w:val="14"/>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4"/>
          <w:szCs w:val="14"/>
          <w:b w:val="1"/>
          <w:bCs w:val="1"/>
          <w:i w:val="1"/>
          <w:iCs w:val="1"/>
          <w:color w:val="auto"/>
        </w:rPr>
        <w:t>Section 3.4</w:t>
      </w:r>
      <w:r>
        <w:rPr>
          <w:rFonts w:ascii="Times New Roman" w:cs="Times New Roman" w:eastAsia="Times New Roman" w:hAnsi="Times New Roman"/>
          <w:sz w:val="14"/>
          <w:szCs w:val="14"/>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4"/>
          <w:szCs w:val="14"/>
          <w:b w:val="1"/>
          <w:bCs w:val="1"/>
          <w:i w:val="1"/>
          <w:iCs w:val="1"/>
          <w:color w:val="auto"/>
        </w:rPr>
        <w:t>Section 3.4(h)</w:t>
      </w:r>
      <w:r>
        <w:rPr>
          <w:rFonts w:ascii="Times New Roman" w:cs="Times New Roman" w:eastAsia="Times New Roman" w:hAnsi="Times New Roman"/>
          <w:sz w:val="14"/>
          <w:szCs w:val="14"/>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4"/>
          <w:szCs w:val="14"/>
          <w:b w:val="1"/>
          <w:bCs w:val="1"/>
          <w:i w:val="1"/>
          <w:iCs w:val="1"/>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3.4(h)</w:t>
      </w:r>
      <w:r>
        <w:rPr>
          <w:rFonts w:ascii="Times New Roman" w:cs="Times New Roman" w:eastAsia="Times New Roman" w:hAnsi="Times New Roman"/>
          <w:sz w:val="14"/>
          <w:szCs w:val="14"/>
          <w:color w:val="auto"/>
        </w:rPr>
        <w:t>, in no event will the indemnified party be required to pay any amount to an indemnifying party pursuant to this</w:t>
      </w:r>
      <w:r>
        <w:rPr>
          <w:rFonts w:ascii="Times New Roman" w:cs="Times New Roman" w:eastAsia="Times New Roman" w:hAnsi="Times New Roman"/>
          <w:sz w:val="14"/>
          <w:szCs w:val="14"/>
          <w:b w:val="1"/>
          <w:bCs w:val="1"/>
          <w:i w:val="1"/>
          <w:iCs w:val="1"/>
          <w:color w:val="auto"/>
        </w:rPr>
        <w:t xml:space="preserve"> Section 3.4(h) </w:t>
      </w:r>
      <w:r>
        <w:rPr>
          <w:rFonts w:ascii="Times New Roman" w:cs="Times New Roman" w:eastAsia="Times New Roman" w:hAnsi="Times New Roman"/>
          <w:sz w:val="14"/>
          <w:szCs w:val="14"/>
          <w:color w:val="auto"/>
        </w:rPr>
        <w:t>the payment of which would place the indemnified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4"/>
          <w:szCs w:val="14"/>
          <w:b w:val="1"/>
          <w:bCs w:val="1"/>
          <w:i w:val="1"/>
          <w:iCs w:val="1"/>
          <w:color w:val="auto"/>
        </w:rPr>
        <w:t>Section 3.4(h)</w:t>
      </w:r>
      <w:r>
        <w:rPr>
          <w:rFonts w:ascii="Times New Roman" w:cs="Times New Roman" w:eastAsia="Times New Roman" w:hAnsi="Times New Roman"/>
          <w:sz w:val="14"/>
          <w:szCs w:val="14"/>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8" w:lineRule="exact"/>
        <w:rPr>
          <w:rFonts w:ascii="Times New Roman" w:cs="Times New Roman" w:eastAsia="Times New Roman" w:hAnsi="Times New Roman"/>
          <w:sz w:val="14"/>
          <w:szCs w:val="14"/>
          <w:b w:val="1"/>
          <w:bCs w:val="1"/>
          <w:color w:val="auto"/>
        </w:rPr>
      </w:pPr>
    </w:p>
    <w:p>
      <w:pPr>
        <w:ind w:left="420" w:firstLine="436"/>
        <w:spacing w:after="0" w:line="269" w:lineRule="auto"/>
        <w:tabs>
          <w:tab w:leader="none" w:pos="1231" w:val="left"/>
        </w:tabs>
        <w:numPr>
          <w:ilvl w:val="0"/>
          <w:numId w:val="1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Survival</w:t>
      </w:r>
      <w:r>
        <w:rPr>
          <w:rFonts w:ascii="Times New Roman" w:cs="Times New Roman" w:eastAsia="Times New Roman" w:hAnsi="Times New Roman"/>
          <w:sz w:val="14"/>
          <w:szCs w:val="14"/>
          <w:color w:val="auto"/>
        </w:rPr>
        <w:t>. Each party’s obligations under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3.4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survive the resignation or replacement of Administrative Agent or any assignment of rights by, or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replacement of, a Lender, the termination of the Commitments and the repayment, satisfaction or discharge of all obligations under any Loan Document.</w:t>
      </w:r>
    </w:p>
    <w:p>
      <w:pPr>
        <w:spacing w:after="0" w:line="1" w:lineRule="exact"/>
        <w:rPr>
          <w:sz w:val="20"/>
          <w:szCs w:val="20"/>
          <w:color w:val="auto"/>
        </w:rPr>
      </w:pPr>
    </w:p>
    <w:p>
      <w:pPr>
        <w:ind w:firstLine="432"/>
        <w:spacing w:after="0" w:line="269" w:lineRule="auto"/>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b w:val="1"/>
          <w:bCs w:val="1"/>
          <w:u w:val="single" w:color="auto"/>
          <w:color w:val="auto"/>
        </w:rPr>
        <w:t>Compensation for Losses.</w:t>
      </w:r>
      <w:r>
        <w:rPr>
          <w:rFonts w:ascii="Times New Roman" w:cs="Times New Roman" w:eastAsia="Times New Roman" w:hAnsi="Times New Roman"/>
          <w:sz w:val="14"/>
          <w:szCs w:val="14"/>
          <w:color w:val="auto"/>
        </w:rPr>
        <w:t xml:space="preserve"> Upon written demand of any Lender (with a copy to Administrative Agent) from time to time, Borrowers shall compensate such Lender for and hold such Lender harmless from any loss, cost or expense incurred by it as a result of:</w:t>
      </w:r>
    </w:p>
    <w:p>
      <w:pPr>
        <w:spacing w:after="0" w:line="1" w:lineRule="exact"/>
        <w:rPr>
          <w:sz w:val="20"/>
          <w:szCs w:val="20"/>
          <w:color w:val="auto"/>
        </w:rPr>
      </w:pPr>
    </w:p>
    <w:p>
      <w:pPr>
        <w:ind w:left="420" w:firstLine="436"/>
        <w:spacing w:after="0" w:line="282" w:lineRule="auto"/>
        <w:tabs>
          <w:tab w:leader="none" w:pos="1176"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1300"/>
          </w:cols>
          <w:pgMar w:left="300" w:top="287" w:right="29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ind w:left="420" w:right="20" w:firstLine="436"/>
        <w:spacing w:after="0" w:line="268" w:lineRule="auto"/>
        <w:tabs>
          <w:tab w:leader="none" w:pos="1192"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by Borrowers (for a reason other than the failure of such Lender to lend any Loan other than a Base Rate Loan) to prepay, borrow, continue or convert any Loan other than a Base Rate Loan on the date or in the amount notified by the Borrower Representative; or</w:t>
      </w:r>
    </w:p>
    <w:p>
      <w:pPr>
        <w:ind w:left="420" w:right="20" w:firstLine="436"/>
        <w:spacing w:after="0" w:line="268" w:lineRule="auto"/>
        <w:tabs>
          <w:tab w:leader="none" w:pos="118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assignment of a Loan other than a Base Rate Loan on a day other than the last day of the Interest Period therefor as a result of a request by the Borrower Representative pursuant to </w:t>
      </w:r>
      <w:r>
        <w:rPr>
          <w:rFonts w:ascii="Times New Roman" w:cs="Times New Roman" w:eastAsia="Times New Roman" w:hAnsi="Times New Roman"/>
          <w:sz w:val="14"/>
          <w:szCs w:val="14"/>
          <w:b w:val="1"/>
          <w:bCs w:val="1"/>
          <w:i w:val="1"/>
          <w:iCs w:val="1"/>
          <w:color w:val="auto"/>
        </w:rPr>
        <w:t>Section 3.6(b)</w:t>
      </w:r>
      <w:r>
        <w:rPr>
          <w:rFonts w:ascii="Times New Roman" w:cs="Times New Roman" w:eastAsia="Times New Roman" w:hAnsi="Times New Roman"/>
          <w:sz w:val="14"/>
          <w:szCs w:val="14"/>
          <w:color w:val="auto"/>
        </w:rPr>
        <w:t>;</w:t>
      </w:r>
    </w:p>
    <w:p>
      <w:pPr>
        <w:spacing w:after="0" w:line="261" w:lineRule="auto"/>
        <w:rPr>
          <w:sz w:val="20"/>
          <w:szCs w:val="20"/>
          <w:color w:val="auto"/>
        </w:rPr>
      </w:pPr>
      <w:r>
        <w:rPr>
          <w:rFonts w:ascii="Times New Roman" w:cs="Times New Roman" w:eastAsia="Times New Roman" w:hAnsi="Times New Roman"/>
          <w:sz w:val="14"/>
          <w:szCs w:val="14"/>
          <w:color w:val="auto"/>
        </w:rPr>
        <w:t>including any loss of anticipated profits and any loss or expense arising from the liquidation or reemployment of funds obtained by it to maintain such Loan or from fees payable to terminate the deposits from which such funds were obtained. Borrowers shall also pay any customary administrative fees charged by such Lender in connection with the foregoing.</w:t>
      </w:r>
    </w:p>
    <w:p>
      <w:pPr>
        <w:spacing w:after="0" w:line="1"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4"/>
          <w:szCs w:val="14"/>
          <w:color w:val="auto"/>
        </w:rPr>
        <w:t>A certificate of any Lender setting forth any amount or amounts that such Lender is entitled to receive pursuant to this Section shall be delivered to the Borrower Representative and shall be conclusive absent demonstrable error. Borrowers shall pay such Lender the amount shown as due on any such certificate within 10 days after receipt thereof.</w:t>
      </w:r>
    </w:p>
    <w:p>
      <w:pPr>
        <w:spacing w:after="0" w:line="1"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3.6</w:t>
      </w:r>
      <w:r>
        <w:rPr>
          <w:sz w:val="20"/>
          <w:szCs w:val="20"/>
          <w:color w:val="auto"/>
        </w:rPr>
        <w:tab/>
      </w:r>
      <w:r>
        <w:rPr>
          <w:rFonts w:ascii="Times New Roman" w:cs="Times New Roman" w:eastAsia="Times New Roman" w:hAnsi="Times New Roman"/>
          <w:sz w:val="14"/>
          <w:szCs w:val="14"/>
          <w:b w:val="1"/>
          <w:bCs w:val="1"/>
          <w:u w:val="single" w:color="auto"/>
          <w:color w:val="auto"/>
        </w:rPr>
        <w:t>Mitigation of Obligations; Replacement of Lenders.</w:t>
      </w:r>
    </w:p>
    <w:p>
      <w:pPr>
        <w:spacing w:after="0" w:line="35" w:lineRule="exact"/>
        <w:rPr>
          <w:sz w:val="20"/>
          <w:szCs w:val="20"/>
          <w:color w:val="auto"/>
        </w:rPr>
      </w:pPr>
    </w:p>
    <w:p>
      <w:pPr>
        <w:jc w:val="both"/>
        <w:ind w:left="420" w:firstLine="436"/>
        <w:spacing w:after="0" w:line="250" w:lineRule="auto"/>
        <w:tabs>
          <w:tab w:leader="none" w:pos="1232" w:val="left"/>
        </w:tabs>
        <w:numPr>
          <w:ilvl w:val="0"/>
          <w:numId w:val="1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Designation of a Different Lending Office</w:t>
      </w:r>
      <w:r>
        <w:rPr>
          <w:rFonts w:ascii="Times New Roman" w:cs="Times New Roman" w:eastAsia="Times New Roman" w:hAnsi="Times New Roman"/>
          <w:sz w:val="14"/>
          <w:szCs w:val="14"/>
          <w:color w:val="auto"/>
        </w:rPr>
        <w:t>. If any Lender requests compensation 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3.1</w:t>
      </w:r>
      <w:r>
        <w:rPr>
          <w:rFonts w:ascii="Times New Roman" w:cs="Times New Roman" w:eastAsia="Times New Roman" w:hAnsi="Times New Roman"/>
          <w:sz w:val="14"/>
          <w:szCs w:val="14"/>
          <w:color w:val="auto"/>
        </w:rPr>
        <w:t>, or requires Borrowers to pay any Indemnified Taxes or additional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amounts to any Lender or any Governmental Authority for the account of any Lender pursuant to </w:t>
      </w:r>
      <w:r>
        <w:rPr>
          <w:rFonts w:ascii="Times New Roman" w:cs="Times New Roman" w:eastAsia="Times New Roman" w:hAnsi="Times New Roman"/>
          <w:sz w:val="14"/>
          <w:szCs w:val="14"/>
          <w:b w:val="1"/>
          <w:bCs w:val="1"/>
          <w:i w:val="1"/>
          <w:iCs w:val="1"/>
          <w:color w:val="auto"/>
        </w:rPr>
        <w:t>Section 3.4</w:t>
      </w:r>
      <w:r>
        <w:rPr>
          <w:rFonts w:ascii="Times New Roman" w:cs="Times New Roman" w:eastAsia="Times New Roman" w:hAnsi="Times New Roman"/>
          <w:sz w:val="14"/>
          <w:szCs w:val="14"/>
          <w:color w:val="auto"/>
        </w:rPr>
        <w:t xml:space="preserve">, then such Lender shall (at the request of the Borrower Representative)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4"/>
          <w:szCs w:val="14"/>
          <w:b w:val="1"/>
          <w:bCs w:val="1"/>
          <w:i w:val="1"/>
          <w:iCs w:val="1"/>
          <w:color w:val="auto"/>
        </w:rPr>
        <w:t>Section 3.1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Section 3.4</w:t>
      </w:r>
      <w:r>
        <w:rPr>
          <w:rFonts w:ascii="Times New Roman" w:cs="Times New Roman" w:eastAsia="Times New Roman" w:hAnsi="Times New Roman"/>
          <w:sz w:val="14"/>
          <w:szCs w:val="14"/>
          <w:color w:val="auto"/>
        </w:rPr>
        <w:t>, as the case may be, in the future, and (ii) would not subject such Lender to any unreimbursed cost or expense and would not otherwise be disadvantageous to such Lender. Borrowers hereby agree to pay all reasonable costs and expenses incurred by any Lender in connection with any such designation or assignment.</w:t>
      </w:r>
    </w:p>
    <w:p>
      <w:pPr>
        <w:spacing w:after="0" w:line="1" w:lineRule="exact"/>
        <w:rPr>
          <w:rFonts w:ascii="Times New Roman" w:cs="Times New Roman" w:eastAsia="Times New Roman" w:hAnsi="Times New Roman"/>
          <w:sz w:val="14"/>
          <w:szCs w:val="14"/>
          <w:b w:val="1"/>
          <w:bCs w:val="1"/>
          <w:color w:val="auto"/>
        </w:rPr>
      </w:pPr>
    </w:p>
    <w:p>
      <w:pPr>
        <w:jc w:val="both"/>
        <w:ind w:left="420" w:firstLine="436"/>
        <w:spacing w:after="0" w:line="248" w:lineRule="auto"/>
        <w:tabs>
          <w:tab w:leader="none" w:pos="1202" w:val="left"/>
        </w:tabs>
        <w:numPr>
          <w:ilvl w:val="0"/>
          <w:numId w:val="1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Replacement of Lenders</w:t>
      </w:r>
      <w:r>
        <w:rPr>
          <w:rFonts w:ascii="Times New Roman" w:cs="Times New Roman" w:eastAsia="Times New Roman" w:hAnsi="Times New Roman"/>
          <w:sz w:val="14"/>
          <w:szCs w:val="14"/>
          <w:color w:val="auto"/>
        </w:rPr>
        <w:t>. If any Lender requests compensation 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3.1</w:t>
      </w:r>
      <w:r>
        <w:rPr>
          <w:rFonts w:ascii="Times New Roman" w:cs="Times New Roman" w:eastAsia="Times New Roman" w:hAnsi="Times New Roman"/>
          <w:sz w:val="14"/>
          <w:szCs w:val="14"/>
          <w:color w:val="auto"/>
        </w:rPr>
        <w:t>, or if Borrowers are required to pay any Indemnified Taxes or additional amounts to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Lender or any Governmental Authority for the account of any Lender pursuant to </w:t>
      </w:r>
      <w:r>
        <w:rPr>
          <w:rFonts w:ascii="Times New Roman" w:cs="Times New Roman" w:eastAsia="Times New Roman" w:hAnsi="Times New Roman"/>
          <w:sz w:val="14"/>
          <w:szCs w:val="14"/>
          <w:b w:val="1"/>
          <w:bCs w:val="1"/>
          <w:i w:val="1"/>
          <w:iCs w:val="1"/>
          <w:color w:val="auto"/>
        </w:rPr>
        <w:t>Section 3.4</w:t>
      </w:r>
      <w:r>
        <w:rPr>
          <w:rFonts w:ascii="Times New Roman" w:cs="Times New Roman" w:eastAsia="Times New Roman" w:hAnsi="Times New Roman"/>
          <w:sz w:val="14"/>
          <w:szCs w:val="14"/>
          <w:color w:val="auto"/>
        </w:rPr>
        <w:t xml:space="preserve"> and, in each case, such Lender has declined or is unable to designate a different Lending Office in accordance with </w:t>
      </w:r>
      <w:r>
        <w:rPr>
          <w:rFonts w:ascii="Times New Roman" w:cs="Times New Roman" w:eastAsia="Times New Roman" w:hAnsi="Times New Roman"/>
          <w:sz w:val="14"/>
          <w:szCs w:val="14"/>
          <w:b w:val="1"/>
          <w:bCs w:val="1"/>
          <w:i w:val="1"/>
          <w:iCs w:val="1"/>
          <w:color w:val="auto"/>
        </w:rPr>
        <w:t>Section 3.6(a)</w:t>
      </w:r>
      <w:r>
        <w:rPr>
          <w:rFonts w:ascii="Times New Roman" w:cs="Times New Roman" w:eastAsia="Times New Roman" w:hAnsi="Times New Roman"/>
          <w:sz w:val="14"/>
          <w:szCs w:val="14"/>
          <w:color w:val="auto"/>
        </w:rPr>
        <w:t xml:space="preserve">, or if any Lender is a Defaulting Lender or a Non-Consenting Lender, then Borrowers may, at their sole expense and effort, upon notice to such Lender and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4"/>
          <w:szCs w:val="14"/>
          <w:b w:val="1"/>
          <w:bCs w:val="1"/>
          <w:i w:val="1"/>
          <w:iCs w:val="1"/>
          <w:color w:val="auto"/>
        </w:rPr>
        <w:t>Section 11.8</w:t>
      </w:r>
      <w:r>
        <w:rPr>
          <w:rFonts w:ascii="Times New Roman" w:cs="Times New Roman" w:eastAsia="Times New Roman" w:hAnsi="Times New Roman"/>
          <w:sz w:val="14"/>
          <w:szCs w:val="14"/>
          <w:color w:val="auto"/>
        </w:rPr>
        <w:t>), all of its interests, rights (other than its existing rights to payments pursuant to</w:t>
      </w:r>
      <w:r>
        <w:rPr>
          <w:rFonts w:ascii="Times New Roman" w:cs="Times New Roman" w:eastAsia="Times New Roman" w:hAnsi="Times New Roman"/>
          <w:sz w:val="14"/>
          <w:szCs w:val="14"/>
          <w:b w:val="1"/>
          <w:bCs w:val="1"/>
          <w:i w:val="1"/>
          <w:iCs w:val="1"/>
          <w:color w:val="auto"/>
        </w:rPr>
        <w:t xml:space="preserve"> Section 3.1 </w:t>
      </w:r>
      <w:r>
        <w:rPr>
          <w:rFonts w:ascii="Times New Roman" w:cs="Times New Roman" w:eastAsia="Times New Roman" w:hAnsi="Times New Roman"/>
          <w:sz w:val="14"/>
          <w:szCs w:val="14"/>
          <w:color w:val="auto"/>
        </w:rPr>
        <w:t>or</w:t>
      </w:r>
      <w:r>
        <w:rPr>
          <w:rFonts w:ascii="Times New Roman" w:cs="Times New Roman" w:eastAsia="Times New Roman" w:hAnsi="Times New Roman"/>
          <w:sz w:val="14"/>
          <w:szCs w:val="14"/>
          <w:b w:val="1"/>
          <w:bCs w:val="1"/>
          <w:i w:val="1"/>
          <w:iCs w:val="1"/>
          <w:color w:val="auto"/>
        </w:rPr>
        <w:t xml:space="preserve"> Section 3.4</w:t>
      </w:r>
      <w:r>
        <w:rPr>
          <w:rFonts w:ascii="Times New Roman" w:cs="Times New Roman" w:eastAsia="Times New Roman" w:hAnsi="Times New Roman"/>
          <w:sz w:val="14"/>
          <w:szCs w:val="14"/>
          <w:color w:val="auto"/>
        </w:rPr>
        <w:t>) and obligations under this Agreement and the related Loan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Documents to an Eligible Assignee that shall assume such obligations (which assignee may be another Lender, if a Lender accepts such assignment);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w:t>
      </w:r>
    </w:p>
    <w:p>
      <w:pPr>
        <w:ind w:left="1560" w:hanging="272"/>
        <w:spacing w:after="0"/>
        <w:tabs>
          <w:tab w:leader="none" w:pos="1560"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Borrowers shall have paid to Administrative Agent the assignment fee (if any) specified in </w:t>
      </w:r>
      <w:r>
        <w:rPr>
          <w:rFonts w:ascii="Times New Roman" w:cs="Times New Roman" w:eastAsia="Times New Roman" w:hAnsi="Times New Roman"/>
          <w:sz w:val="14"/>
          <w:szCs w:val="14"/>
          <w:b w:val="1"/>
          <w:bCs w:val="1"/>
          <w:i w:val="1"/>
          <w:iCs w:val="1"/>
          <w:color w:val="auto"/>
        </w:rPr>
        <w:t>Section 11.8</w:t>
      </w:r>
      <w:r>
        <w:rPr>
          <w:rFonts w:ascii="Times New Roman" w:cs="Times New Roman" w:eastAsia="Times New Roman" w:hAnsi="Times New Roman"/>
          <w:sz w:val="14"/>
          <w:szCs w:val="14"/>
          <w:color w:val="auto"/>
        </w:rPr>
        <w:t>;</w:t>
      </w:r>
    </w:p>
    <w:p>
      <w:pPr>
        <w:spacing w:after="0" w:line="41" w:lineRule="exact"/>
        <w:rPr>
          <w:rFonts w:ascii="Times New Roman" w:cs="Times New Roman" w:eastAsia="Times New Roman" w:hAnsi="Times New Roman"/>
          <w:sz w:val="14"/>
          <w:szCs w:val="14"/>
          <w:color w:val="auto"/>
        </w:rPr>
      </w:pPr>
    </w:p>
    <w:p>
      <w:pPr>
        <w:jc w:val="both"/>
        <w:ind w:left="860" w:firstLine="428"/>
        <w:spacing w:after="0" w:line="257" w:lineRule="auto"/>
        <w:tabs>
          <w:tab w:leader="none" w:pos="1622"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Lender shall have received payment of an amount equal to the Outstanding Amount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14"/>
          <w:szCs w:val="14"/>
          <w:b w:val="1"/>
          <w:bCs w:val="1"/>
          <w:i w:val="1"/>
          <w:iCs w:val="1"/>
          <w:color w:val="auto"/>
        </w:rPr>
        <w:t>Section 3.5</w:t>
      </w:r>
      <w:r>
        <w:rPr>
          <w:rFonts w:ascii="Times New Roman" w:cs="Times New Roman" w:eastAsia="Times New Roman" w:hAnsi="Times New Roman"/>
          <w:sz w:val="14"/>
          <w:szCs w:val="14"/>
          <w:color w:val="auto"/>
        </w:rPr>
        <w:t>) from the assignee (to the extent of such outstanding principal and accrued interest and fees) or Borrowers (in the case of all other amounts);</w:t>
      </w:r>
    </w:p>
    <w:p>
      <w:pPr>
        <w:ind w:left="860" w:firstLine="428"/>
        <w:spacing w:after="0" w:line="264" w:lineRule="auto"/>
        <w:tabs>
          <w:tab w:leader="none" w:pos="1732"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any such assignment resulting from a claim for compensation under </w:t>
      </w:r>
      <w:r>
        <w:rPr>
          <w:rFonts w:ascii="Times New Roman" w:cs="Times New Roman" w:eastAsia="Times New Roman" w:hAnsi="Times New Roman"/>
          <w:sz w:val="14"/>
          <w:szCs w:val="14"/>
          <w:b w:val="1"/>
          <w:bCs w:val="1"/>
          <w:i w:val="1"/>
          <w:iCs w:val="1"/>
          <w:color w:val="auto"/>
        </w:rPr>
        <w:t>Section 3.1</w:t>
      </w:r>
      <w:r>
        <w:rPr>
          <w:rFonts w:ascii="Times New Roman" w:cs="Times New Roman" w:eastAsia="Times New Roman" w:hAnsi="Times New Roman"/>
          <w:sz w:val="14"/>
          <w:szCs w:val="14"/>
          <w:color w:val="auto"/>
        </w:rPr>
        <w:t xml:space="preserve"> or payments required to be made pursuant to </w:t>
      </w:r>
      <w:r>
        <w:rPr>
          <w:rFonts w:ascii="Times New Roman" w:cs="Times New Roman" w:eastAsia="Times New Roman" w:hAnsi="Times New Roman"/>
          <w:sz w:val="14"/>
          <w:szCs w:val="14"/>
          <w:b w:val="1"/>
          <w:bCs w:val="1"/>
          <w:i w:val="1"/>
          <w:iCs w:val="1"/>
          <w:color w:val="auto"/>
        </w:rPr>
        <w:t>Section 3.4</w:t>
      </w:r>
      <w:r>
        <w:rPr>
          <w:rFonts w:ascii="Times New Roman" w:cs="Times New Roman" w:eastAsia="Times New Roman" w:hAnsi="Times New Roman"/>
          <w:sz w:val="14"/>
          <w:szCs w:val="14"/>
          <w:color w:val="auto"/>
        </w:rPr>
        <w:t>, such assignment will result in a reduction in such compensation or payments thereafter;</w:t>
      </w:r>
    </w:p>
    <w:p>
      <w:pPr>
        <w:ind w:left="1640" w:hanging="352"/>
        <w:spacing w:after="0"/>
        <w:tabs>
          <w:tab w:leader="none" w:pos="1640" w:val="left"/>
        </w:tabs>
        <w:numPr>
          <w:ilvl w:val="1"/>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assignment does not conflict with applicable Law; and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1300"/>
          </w:cols>
          <w:pgMar w:left="300" w:top="287" w:right="299" w:bottom="1440" w:gutter="0" w:footer="0" w:header="0"/>
        </w:sectPr>
      </w:pPr>
    </w:p>
    <w:bookmarkStart w:id="158" w:name="page159"/>
    <w:bookmarkEnd w:id="158"/>
    <w:p>
      <w:pPr>
        <w:ind w:left="1068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8" w:lineRule="exact"/>
        <w:rPr>
          <w:sz w:val="20"/>
          <w:szCs w:val="20"/>
          <w:color w:val="auto"/>
        </w:rPr>
      </w:pPr>
    </w:p>
    <w:p>
      <w:pPr>
        <w:ind w:left="860" w:firstLine="428"/>
        <w:spacing w:after="0" w:line="268" w:lineRule="auto"/>
        <w:tabs>
          <w:tab w:leader="none" w:pos="1621"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assignment resulting from a Lender becoming a Non-Consenting Lender, the applicable assignee shall have consented to the applicable amendment, waiver or consent.</w:t>
      </w:r>
    </w:p>
    <w:p>
      <w:pPr>
        <w:jc w:val="both"/>
        <w:spacing w:after="0" w:line="265" w:lineRule="auto"/>
        <w:rPr>
          <w:sz w:val="20"/>
          <w:szCs w:val="20"/>
          <w:color w:val="auto"/>
        </w:rPr>
      </w:pPr>
      <w:r>
        <w:rPr>
          <w:rFonts w:ascii="Times New Roman" w:cs="Times New Roman" w:eastAsia="Times New Roman" w:hAnsi="Times New Roman"/>
          <w:sz w:val="14"/>
          <w:szCs w:val="14"/>
          <w:color w:val="auto"/>
        </w:rPr>
        <w:t>A Lender shall not be required to make any such assignment or delegation if, prior thereto, as a result of a waiver by such Lender or otherwise, the circumstances entitling Borrowers to require such assignment and delegation cease to apply.</w:t>
      </w:r>
    </w:p>
    <w:p>
      <w:pPr>
        <w:jc w:val="both"/>
        <w:ind w:right="20" w:firstLine="432"/>
        <w:spacing w:after="0" w:line="288" w:lineRule="auto"/>
        <w:rPr>
          <w:sz w:val="20"/>
          <w:szCs w:val="20"/>
          <w:color w:val="auto"/>
        </w:rPr>
      </w:pPr>
      <w:r>
        <w:rPr>
          <w:rFonts w:ascii="Times New Roman" w:cs="Times New Roman" w:eastAsia="Times New Roman" w:hAnsi="Times New Roman"/>
          <w:sz w:val="14"/>
          <w:szCs w:val="14"/>
          <w:color w:val="auto"/>
        </w:rPr>
        <w:t xml:space="preserve">Section 3.7 </w:t>
      </w:r>
      <w:r>
        <w:rPr>
          <w:rFonts w:ascii="Times New Roman" w:cs="Times New Roman" w:eastAsia="Times New Roman" w:hAnsi="Times New Roman"/>
          <w:sz w:val="14"/>
          <w:szCs w:val="14"/>
          <w:b w:val="1"/>
          <w:bCs w:val="1"/>
          <w:color w:val="auto"/>
        </w:rPr>
        <w:t>Survival.</w:t>
      </w:r>
      <w:r>
        <w:rPr>
          <w:rFonts w:ascii="Times New Roman" w:cs="Times New Roman" w:eastAsia="Times New Roman" w:hAnsi="Times New Roman"/>
          <w:sz w:val="14"/>
          <w:szCs w:val="14"/>
          <w:color w:val="auto"/>
        </w:rPr>
        <w:t xml:space="preserve"> All of the obligations under this </w:t>
      </w:r>
      <w:r>
        <w:rPr>
          <w:rFonts w:ascii="Times New Roman" w:cs="Times New Roman" w:eastAsia="Times New Roman" w:hAnsi="Times New Roman"/>
          <w:sz w:val="14"/>
          <w:szCs w:val="14"/>
          <w:b w:val="1"/>
          <w:bCs w:val="1"/>
          <w:i w:val="1"/>
          <w:iCs w:val="1"/>
          <w:color w:val="auto"/>
        </w:rPr>
        <w:t>Article 3</w:t>
      </w:r>
      <w:r>
        <w:rPr>
          <w:rFonts w:ascii="Times New Roman" w:cs="Times New Roman" w:eastAsia="Times New Roman" w:hAnsi="Times New Roman"/>
          <w:sz w:val="14"/>
          <w:szCs w:val="14"/>
          <w:color w:val="auto"/>
        </w:rPr>
        <w:t xml:space="preserve"> shall survive termination of the Commitments, repayment of all other Obligations hereunder, and resignation of Administrative Agent.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CONDITIONS PRECEDENT</w:t>
      </w:r>
    </w:p>
    <w:p>
      <w:pPr>
        <w:spacing w:after="0" w:line="3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b w:val="1"/>
          <w:bCs w:val="1"/>
          <w:u w:val="single" w:color="auto"/>
          <w:color w:val="auto"/>
        </w:rPr>
        <w:t>Closing Date.</w:t>
      </w:r>
      <w:r>
        <w:rPr>
          <w:rFonts w:ascii="Times New Roman" w:cs="Times New Roman" w:eastAsia="Times New Roman" w:hAnsi="Times New Roman"/>
          <w:sz w:val="14"/>
          <w:szCs w:val="14"/>
          <w:color w:val="auto"/>
        </w:rPr>
        <w:t xml:space="preserve"> The amendment and restatement of the Existing Credit Agreement by this Agreement is subject to the condition precedent that Administrative Agent shall have received all of the following, each dated (unless otherwise indicated or otherwise specified by Administrative Agent) as of the Closing Date, in form and substance reasonably satisfactory to Administrative Agent:</w:t>
      </w:r>
    </w:p>
    <w:p>
      <w:pPr>
        <w:spacing w:after="0" w:line="1" w:lineRule="exact"/>
        <w:rPr>
          <w:sz w:val="20"/>
          <w:szCs w:val="20"/>
          <w:color w:val="auto"/>
        </w:rPr>
      </w:pPr>
    </w:p>
    <w:p>
      <w:pPr>
        <w:ind w:left="1160" w:hanging="304"/>
        <w:spacing w:after="0"/>
        <w:tabs>
          <w:tab w:leader="none" w:pos="1160" w:val="left"/>
        </w:tabs>
        <w:numPr>
          <w:ilvl w:val="0"/>
          <w:numId w:val="1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Credit Agreement</w:t>
      </w:r>
      <w:r>
        <w:rPr>
          <w:rFonts w:ascii="Times New Roman" w:cs="Times New Roman" w:eastAsia="Times New Roman" w:hAnsi="Times New Roman"/>
          <w:sz w:val="14"/>
          <w:szCs w:val="14"/>
          <w:color w:val="auto"/>
        </w:rPr>
        <w:t>. Executed counterparts of this Agreement executed by Administrative Agent, the Lenders, Swing Line Lender, L/C Issuer and each Loan Party;</w:t>
      </w:r>
    </w:p>
    <w:p>
      <w:pPr>
        <w:spacing w:after="0" w:line="37" w:lineRule="exact"/>
        <w:rPr>
          <w:rFonts w:ascii="Times New Roman" w:cs="Times New Roman" w:eastAsia="Times New Roman" w:hAnsi="Times New Roman"/>
          <w:sz w:val="14"/>
          <w:szCs w:val="14"/>
          <w:b w:val="1"/>
          <w:bCs w:val="1"/>
          <w:color w:val="auto"/>
        </w:rPr>
      </w:pPr>
    </w:p>
    <w:p>
      <w:pPr>
        <w:jc w:val="both"/>
        <w:ind w:left="860" w:hanging="4"/>
        <w:spacing w:after="0" w:line="259" w:lineRule="auto"/>
        <w:tabs>
          <w:tab w:leader="none" w:pos="1243" w:val="left"/>
        </w:tabs>
        <w:numPr>
          <w:ilvl w:val="0"/>
          <w:numId w:val="1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Resolutions</w:t>
      </w:r>
      <w:r>
        <w:rPr>
          <w:rFonts w:ascii="Times New Roman" w:cs="Times New Roman" w:eastAsia="Times New Roman" w:hAnsi="Times New Roman"/>
          <w:sz w:val="14"/>
          <w:szCs w:val="14"/>
          <w:color w:val="auto"/>
        </w:rPr>
        <w:t>. Resolutions of the board of directors (or other governing body) of each Loan Party that is not a natural Person certified by a Responsible Officer or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custodian of records of such Person which authorize the execution, delivery, and performance by such Person of this Agreement and the other Loan Documents to which such Person is or is to be a party;</w:t>
      </w:r>
    </w:p>
    <w:p>
      <w:pPr>
        <w:jc w:val="both"/>
        <w:ind w:left="860" w:hanging="4"/>
        <w:spacing w:after="0" w:line="254" w:lineRule="auto"/>
        <w:tabs>
          <w:tab w:leader="none" w:pos="1171" w:val="left"/>
        </w:tabs>
        <w:numPr>
          <w:ilvl w:val="0"/>
          <w:numId w:val="1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Incumbency Certificate</w:t>
      </w:r>
      <w:r>
        <w:rPr>
          <w:rFonts w:ascii="Times New Roman" w:cs="Times New Roman" w:eastAsia="Times New Roman" w:hAnsi="Times New Roman"/>
          <w:sz w:val="14"/>
          <w:szCs w:val="14"/>
          <w:color w:val="auto"/>
        </w:rPr>
        <w:t>. A certificate of incumbency certified by a Responsible Officer of each Loan Party that is not a natural Person certifying the names of the individuals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other Persons authorized to sign this Agreement and each of the other Loan Documents to which each Loan Party is or is to be a party (including the certificates contemplated herein) on behalf of such Person together with specimen signatures of such individual Persons;</w:t>
      </w:r>
    </w:p>
    <w:p>
      <w:pPr>
        <w:spacing w:after="0" w:line="1" w:lineRule="exact"/>
        <w:rPr>
          <w:rFonts w:ascii="Times New Roman" w:cs="Times New Roman" w:eastAsia="Times New Roman" w:hAnsi="Times New Roman"/>
          <w:sz w:val="14"/>
          <w:szCs w:val="14"/>
          <w:b w:val="1"/>
          <w:bCs w:val="1"/>
          <w:color w:val="auto"/>
        </w:rPr>
      </w:pPr>
    </w:p>
    <w:p>
      <w:pPr>
        <w:jc w:val="both"/>
        <w:ind w:left="860" w:hanging="4"/>
        <w:spacing w:after="0" w:line="259" w:lineRule="auto"/>
        <w:tabs>
          <w:tab w:leader="none" w:pos="1198" w:val="left"/>
        </w:tabs>
        <w:numPr>
          <w:ilvl w:val="0"/>
          <w:numId w:val="1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Certificate Regarding Consents and Approvals</w:t>
      </w:r>
      <w:r>
        <w:rPr>
          <w:rFonts w:ascii="Times New Roman" w:cs="Times New Roman" w:eastAsia="Times New Roman" w:hAnsi="Times New Roman"/>
          <w:sz w:val="14"/>
          <w:szCs w:val="14"/>
          <w:color w:val="auto"/>
        </w:rPr>
        <w:t>. A certificate of a Responsible Officer of each Loan Party either (i) attaching copies of all consents, licenses and approvals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required in connection with the execution, delivery and performance by such Loan Party and the validity against such Loan Party of the Loan Documents to which it is a party, and such consents, licenses and approvals shall be in full force and effect, or (ii) stating that no such consents, licenses or approvals are so required;</w:t>
      </w:r>
    </w:p>
    <w:p>
      <w:pPr>
        <w:jc w:val="both"/>
        <w:ind w:left="860" w:hanging="4"/>
        <w:spacing w:after="0" w:line="252" w:lineRule="auto"/>
        <w:tabs>
          <w:tab w:leader="none" w:pos="1164" w:val="left"/>
        </w:tabs>
        <w:numPr>
          <w:ilvl w:val="0"/>
          <w:numId w:val="1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Closing Certificate</w:t>
      </w:r>
      <w:r>
        <w:rPr>
          <w:rFonts w:ascii="Times New Roman" w:cs="Times New Roman" w:eastAsia="Times New Roman" w:hAnsi="Times New Roman"/>
          <w:sz w:val="14"/>
          <w:szCs w:val="14"/>
          <w:color w:val="auto"/>
        </w:rPr>
        <w:t>. A certificate signed by a Responsible Officer of the Borrower Representative certifying (i) that on the Closing Date and immediately after giving effect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Agreement and any Credit Extension on the Closing Date, (A) no Default or Event of Default has occurred and is continuing, (B) all representations and warranties made by any Loan Party contained herein or in any other Loan Document shall be true and correct and (C) no Material Adverse Effect shall have occurred and no circumstance shall exist that could reasonably be expected to have a Material Adverse Effect and (ii) that attached to such certificate is a true, accurate and complete copy of the Subordinated Debt Documents, if any, including any amendments and supplements thereto;</w:t>
      </w:r>
    </w:p>
    <w:p>
      <w:pPr>
        <w:ind w:left="1140" w:hanging="284"/>
        <w:spacing w:after="0"/>
        <w:tabs>
          <w:tab w:leader="none" w:pos="1140" w:val="left"/>
        </w:tabs>
        <w:numPr>
          <w:ilvl w:val="0"/>
          <w:numId w:val="1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Solvency Certificate</w:t>
      </w:r>
      <w:r>
        <w:rPr>
          <w:rFonts w:ascii="Times New Roman" w:cs="Times New Roman" w:eastAsia="Times New Roman" w:hAnsi="Times New Roman"/>
          <w:sz w:val="14"/>
          <w:szCs w:val="14"/>
          <w:color w:val="auto"/>
        </w:rPr>
        <w:t>. A solvency certificate signed by the chief financial officer of Holdings;</w:t>
      </w:r>
    </w:p>
    <w:p>
      <w:pPr>
        <w:spacing w:after="0" w:line="29" w:lineRule="exact"/>
        <w:rPr>
          <w:rFonts w:ascii="Times New Roman" w:cs="Times New Roman" w:eastAsia="Times New Roman" w:hAnsi="Times New Roman"/>
          <w:sz w:val="14"/>
          <w:szCs w:val="14"/>
          <w:b w:val="1"/>
          <w:bCs w:val="1"/>
          <w:color w:val="auto"/>
        </w:rPr>
      </w:pPr>
    </w:p>
    <w:p>
      <w:pPr>
        <w:ind w:left="1160" w:hanging="304"/>
        <w:spacing w:after="0"/>
        <w:tabs>
          <w:tab w:leader="none" w:pos="1160" w:val="left"/>
        </w:tabs>
        <w:numPr>
          <w:ilvl w:val="0"/>
          <w:numId w:val="1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Perfection Certificate</w:t>
      </w:r>
      <w:r>
        <w:rPr>
          <w:rFonts w:ascii="Times New Roman" w:cs="Times New Roman" w:eastAsia="Times New Roman" w:hAnsi="Times New Roman"/>
          <w:sz w:val="14"/>
          <w:szCs w:val="14"/>
          <w:color w:val="auto"/>
        </w:rPr>
        <w:t>. The Perfection Certificate signed by a Responsible Officer of each Loan Party;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1300"/>
          </w:cols>
          <w:pgMar w:left="300" w:top="287" w:right="29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5" w:lineRule="exact"/>
        <w:rPr>
          <w:sz w:val="20"/>
          <w:szCs w:val="20"/>
          <w:color w:val="auto"/>
        </w:rPr>
      </w:pPr>
    </w:p>
    <w:p>
      <w:pPr>
        <w:jc w:val="both"/>
        <w:ind w:left="440" w:hanging="4"/>
        <w:spacing w:after="0" w:line="254" w:lineRule="auto"/>
        <w:tabs>
          <w:tab w:leader="none" w:pos="774" w:val="left"/>
        </w:tabs>
        <w:numPr>
          <w:ilvl w:val="0"/>
          <w:numId w:val="1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Constituent Documents</w:t>
      </w:r>
      <w:r>
        <w:rPr>
          <w:rFonts w:ascii="Times New Roman" w:cs="Times New Roman" w:eastAsia="Times New Roman" w:hAnsi="Times New Roman"/>
          <w:sz w:val="14"/>
          <w:szCs w:val="14"/>
          <w:color w:val="auto"/>
        </w:rPr>
        <w:t>. The Constituent Documents and all amendments thereto for each Loan Party that is not a natural Person, with the formation documents included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Constituent Documents being certified as of a date acceptable to Administrative Agent by the appropriate government officials of the state of incorporation or organization of each Loan Party, and all such Constituent Documents being accompanied by certificates that such copies are complete and correct, given by an authorized representative acceptable to Administrative Agent;</w:t>
      </w:r>
    </w:p>
    <w:p>
      <w:pPr>
        <w:spacing w:after="0" w:line="2" w:lineRule="exact"/>
        <w:rPr>
          <w:rFonts w:ascii="Times New Roman" w:cs="Times New Roman" w:eastAsia="Times New Roman" w:hAnsi="Times New Roman"/>
          <w:sz w:val="14"/>
          <w:szCs w:val="14"/>
          <w:b w:val="1"/>
          <w:bCs w:val="1"/>
          <w:color w:val="auto"/>
        </w:rPr>
      </w:pPr>
    </w:p>
    <w:p>
      <w:pPr>
        <w:ind w:left="440" w:hanging="4"/>
        <w:spacing w:after="0" w:line="262" w:lineRule="auto"/>
        <w:tabs>
          <w:tab w:leader="none" w:pos="734" w:val="left"/>
        </w:tabs>
        <w:numPr>
          <w:ilvl w:val="0"/>
          <w:numId w:val="1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Governmental Certificates</w:t>
      </w:r>
      <w:r>
        <w:rPr>
          <w:rFonts w:ascii="Times New Roman" w:cs="Times New Roman" w:eastAsia="Times New Roman" w:hAnsi="Times New Roman"/>
          <w:sz w:val="14"/>
          <w:szCs w:val="14"/>
          <w:color w:val="auto"/>
        </w:rPr>
        <w:t>. Certificates of the appropriate government officials of the state of incorporation or organization of each Loan Party that is not a natural Person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existence and good standing of each Loan Party that is not a natural Person, each dated within thirty (30) days prior to the date hereof;</w:t>
      </w:r>
    </w:p>
    <w:p>
      <w:pPr>
        <w:ind w:left="440" w:hanging="4"/>
        <w:spacing w:after="0" w:line="267" w:lineRule="auto"/>
        <w:tabs>
          <w:tab w:leader="none" w:pos="764" w:val="left"/>
        </w:tabs>
        <w:numPr>
          <w:ilvl w:val="0"/>
          <w:numId w:val="1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Notes</w:t>
      </w:r>
      <w:r>
        <w:rPr>
          <w:rFonts w:ascii="Times New Roman" w:cs="Times New Roman" w:eastAsia="Times New Roman" w:hAnsi="Times New Roman"/>
          <w:sz w:val="14"/>
          <w:szCs w:val="14"/>
          <w:color w:val="auto"/>
        </w:rPr>
        <w:t>. The Notes (or amendment and restatement of such Notes, as the case may be) executed by Borrowers in favor of each Lender requesting Notes (or amendment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restatement of such Notes, as the case may be);</w:t>
      </w:r>
    </w:p>
    <w:p>
      <w:pPr>
        <w:ind w:left="760" w:hanging="324"/>
        <w:spacing w:after="0"/>
        <w:tabs>
          <w:tab w:leader="none" w:pos="760" w:val="left"/>
        </w:tabs>
        <w:numPr>
          <w:ilvl w:val="0"/>
          <w:numId w:val="1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Security Agreement</w:t>
      </w:r>
      <w:r>
        <w:rPr>
          <w:rFonts w:ascii="Times New Roman" w:cs="Times New Roman" w:eastAsia="Times New Roman" w:hAnsi="Times New Roman"/>
          <w:sz w:val="14"/>
          <w:szCs w:val="14"/>
          <w:color w:val="auto"/>
        </w:rPr>
        <w:t>. The Security Agreement executed by Borrowers and the other Loan Parties;</w:t>
      </w:r>
    </w:p>
    <w:p>
      <w:pPr>
        <w:spacing w:after="0" w:line="37" w:lineRule="exact"/>
        <w:rPr>
          <w:rFonts w:ascii="Times New Roman" w:cs="Times New Roman" w:eastAsia="Times New Roman" w:hAnsi="Times New Roman"/>
          <w:sz w:val="14"/>
          <w:szCs w:val="14"/>
          <w:b w:val="1"/>
          <w:bCs w:val="1"/>
          <w:color w:val="auto"/>
        </w:rPr>
      </w:pPr>
    </w:p>
    <w:p>
      <w:pPr>
        <w:ind w:left="440" w:hanging="4"/>
        <w:spacing w:after="0" w:line="268" w:lineRule="auto"/>
        <w:tabs>
          <w:tab w:leader="none" w:pos="756" w:val="left"/>
        </w:tabs>
        <w:numPr>
          <w:ilvl w:val="0"/>
          <w:numId w:val="1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Borrowing Base Report. </w:t>
      </w:r>
      <w:r>
        <w:rPr>
          <w:rFonts w:ascii="Times New Roman" w:cs="Times New Roman" w:eastAsia="Times New Roman" w:hAnsi="Times New Roman"/>
          <w:sz w:val="14"/>
          <w:szCs w:val="14"/>
          <w:color w:val="auto"/>
        </w:rPr>
        <w:t>Borrowing Base Report which calculates the Borrowing Base as of a date specified by Administrative Agent prior to or on the Closing Date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customary supporting schedules and documentation;</w:t>
      </w:r>
    </w:p>
    <w:p>
      <w:pPr>
        <w:jc w:val="both"/>
        <w:ind w:left="440" w:hanging="4"/>
        <w:spacing w:after="0" w:line="254" w:lineRule="auto"/>
        <w:tabs>
          <w:tab w:leader="none" w:pos="815" w:val="left"/>
        </w:tabs>
        <w:numPr>
          <w:ilvl w:val="0"/>
          <w:numId w:val="1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Third-Party Field Examinations</w:t>
      </w:r>
      <w:r>
        <w:rPr>
          <w:rFonts w:ascii="Times New Roman" w:cs="Times New Roman" w:eastAsia="Times New Roman" w:hAnsi="Times New Roman"/>
          <w:sz w:val="14"/>
          <w:szCs w:val="14"/>
          <w:color w:val="auto"/>
        </w:rPr>
        <w:t>. Such third-party field examinations and audits of the Borrowers’ Accounts, Inventory (including, without limitation, the compressor fleet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related Compressor Components), related working capital matters and of the Borrowers’ related data processing and other systems and such other information or materials as Administrative Agent shall include within the scope of such third-party field examinations and audits, the results of which shall be satisfactory to Administrative Agent in its sole discretion;</w:t>
      </w:r>
    </w:p>
    <w:p>
      <w:pPr>
        <w:spacing w:after="0" w:line="2" w:lineRule="exact"/>
        <w:rPr>
          <w:rFonts w:ascii="Times New Roman" w:cs="Times New Roman" w:eastAsia="Times New Roman" w:hAnsi="Times New Roman"/>
          <w:sz w:val="14"/>
          <w:szCs w:val="14"/>
          <w:b w:val="1"/>
          <w:bCs w:val="1"/>
          <w:color w:val="auto"/>
        </w:rPr>
      </w:pPr>
    </w:p>
    <w:p>
      <w:pPr>
        <w:ind w:left="440" w:right="20" w:hanging="4"/>
        <w:spacing w:after="0" w:line="262" w:lineRule="auto"/>
        <w:tabs>
          <w:tab w:leader="none" w:pos="757" w:val="left"/>
        </w:tabs>
        <w:numPr>
          <w:ilvl w:val="0"/>
          <w:numId w:val="1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Third-Party Appraisals</w:t>
      </w:r>
      <w:r>
        <w:rPr>
          <w:rFonts w:ascii="Times New Roman" w:cs="Times New Roman" w:eastAsia="Times New Roman" w:hAnsi="Times New Roman"/>
          <w:sz w:val="14"/>
          <w:szCs w:val="14"/>
          <w:color w:val="auto"/>
        </w:rPr>
        <w:t>. Such third-party asset appraisals of each Borrowers’ Inventory (including, without limitation, the compressor fleet), which third-party appraisal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in form and substance satisfactory to Administrative Agent in its sole discretion;</w:t>
      </w:r>
    </w:p>
    <w:p>
      <w:pPr>
        <w:jc w:val="both"/>
        <w:ind w:firstLine="436"/>
        <w:spacing w:after="0" w:line="254" w:lineRule="auto"/>
        <w:tabs>
          <w:tab w:leader="none" w:pos="764" w:val="left"/>
        </w:tabs>
        <w:numPr>
          <w:ilvl w:val="0"/>
          <w:numId w:val="1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Lien Searches; Lien Releases</w:t>
      </w:r>
      <w:r>
        <w:rPr>
          <w:rFonts w:ascii="Times New Roman" w:cs="Times New Roman" w:eastAsia="Times New Roman" w:hAnsi="Times New Roman"/>
          <w:sz w:val="14"/>
          <w:szCs w:val="14"/>
          <w:color w:val="auto"/>
        </w:rPr>
        <w:t>. The results of UCC, tax lien and judgment lien searches showing all financing statements and other documents or instruments on file against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each Loan Party in the appropriate filing offices, such search to be as of a recent date reasonably satisfactory to the Administrative Agent. The Administrative Agent shall have received evidence satisfactory to it (including mortgage releases and UCC-3 financing statement terminations, as applicable) that all Liens on the Equity Interests of the Loan Parties and the Properties of the Loan Parties have been released or terminated, subject only to the filing of applicable terminations and releases and Permitted Liens.</w:t>
      </w:r>
    </w:p>
    <w:p>
      <w:pPr>
        <w:spacing w:after="0" w:line="1" w:lineRule="exact"/>
        <w:rPr>
          <w:rFonts w:ascii="Times New Roman" w:cs="Times New Roman" w:eastAsia="Times New Roman" w:hAnsi="Times New Roman"/>
          <w:sz w:val="14"/>
          <w:szCs w:val="14"/>
          <w:b w:val="1"/>
          <w:bCs w:val="1"/>
          <w:color w:val="auto"/>
        </w:rPr>
      </w:pPr>
    </w:p>
    <w:p>
      <w:pPr>
        <w:ind w:firstLine="436"/>
        <w:spacing w:after="0" w:line="266" w:lineRule="auto"/>
        <w:tabs>
          <w:tab w:leader="none" w:pos="818" w:val="left"/>
        </w:tabs>
        <w:numPr>
          <w:ilvl w:val="0"/>
          <w:numId w:val="1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Opinion of Counsel</w:t>
      </w:r>
      <w:r>
        <w:rPr>
          <w:rFonts w:ascii="Times New Roman" w:cs="Times New Roman" w:eastAsia="Times New Roman" w:hAnsi="Times New Roman"/>
          <w:sz w:val="14"/>
          <w:szCs w:val="14"/>
          <w:color w:val="auto"/>
        </w:rPr>
        <w:t>. Signed favorable legal opinions of Jones &amp; Keller P.C., legal counsel to the Loan Parties covering such matters as the Administrative Agent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reasonably request;</w:t>
      </w:r>
    </w:p>
    <w:p>
      <w:pPr>
        <w:spacing w:after="0" w:line="1" w:lineRule="exact"/>
        <w:rPr>
          <w:rFonts w:ascii="Times New Roman" w:cs="Times New Roman" w:eastAsia="Times New Roman" w:hAnsi="Times New Roman"/>
          <w:sz w:val="14"/>
          <w:szCs w:val="14"/>
          <w:b w:val="1"/>
          <w:bCs w:val="1"/>
          <w:color w:val="auto"/>
        </w:rPr>
      </w:pPr>
    </w:p>
    <w:p>
      <w:pPr>
        <w:ind w:right="20" w:firstLine="436"/>
        <w:spacing w:after="0" w:line="268" w:lineRule="auto"/>
        <w:tabs>
          <w:tab w:leader="none" w:pos="749" w:val="left"/>
        </w:tabs>
        <w:numPr>
          <w:ilvl w:val="0"/>
          <w:numId w:val="1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Attorneys’ Fees and Expenses</w:t>
      </w:r>
      <w:r>
        <w:rPr>
          <w:rFonts w:ascii="Times New Roman" w:cs="Times New Roman" w:eastAsia="Times New Roman" w:hAnsi="Times New Roman"/>
          <w:sz w:val="14"/>
          <w:szCs w:val="14"/>
          <w:color w:val="auto"/>
        </w:rPr>
        <w:t>. Evidence that the costs and expenses (including reasonable attorneys’ fees) referred to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11.1</w:t>
      </w:r>
      <w:r>
        <w:rPr>
          <w:rFonts w:ascii="Times New Roman" w:cs="Times New Roman" w:eastAsia="Times New Roman" w:hAnsi="Times New Roman"/>
          <w:sz w:val="14"/>
          <w:szCs w:val="14"/>
          <w:color w:val="auto"/>
        </w:rPr>
        <w:t>, to the extent invoiced, shall have been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paid in full by Borrowers;</w:t>
      </w:r>
    </w:p>
    <w:p>
      <w:pPr>
        <w:ind w:left="740" w:hanging="304"/>
        <w:spacing w:after="0"/>
        <w:tabs>
          <w:tab w:leader="none" w:pos="740" w:val="left"/>
        </w:tabs>
        <w:numPr>
          <w:ilvl w:val="0"/>
          <w:numId w:val="1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Statements</w:t>
      </w:r>
      <w:r>
        <w:rPr>
          <w:rFonts w:ascii="Times New Roman" w:cs="Times New Roman" w:eastAsia="Times New Roman" w:hAnsi="Times New Roman"/>
          <w:sz w:val="14"/>
          <w:szCs w:val="14"/>
          <w:color w:val="auto"/>
        </w:rPr>
        <w:t>. The financial statements set forth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5.2</w:t>
      </w:r>
      <w:r>
        <w:rPr>
          <w:rFonts w:ascii="Times New Roman" w:cs="Times New Roman" w:eastAsia="Times New Roman" w:hAnsi="Times New Roman"/>
          <w:sz w:val="14"/>
          <w:szCs w:val="14"/>
          <w:color w:val="auto"/>
        </w:rPr>
        <w:t>;</w:t>
      </w:r>
    </w:p>
    <w:p>
      <w:pPr>
        <w:spacing w:after="0" w:line="39" w:lineRule="exact"/>
        <w:rPr>
          <w:rFonts w:ascii="Times New Roman" w:cs="Times New Roman" w:eastAsia="Times New Roman" w:hAnsi="Times New Roman"/>
          <w:sz w:val="14"/>
          <w:szCs w:val="14"/>
          <w:b w:val="1"/>
          <w:bCs w:val="1"/>
          <w:color w:val="auto"/>
        </w:rPr>
      </w:pPr>
    </w:p>
    <w:p>
      <w:pPr>
        <w:ind w:right="20" w:firstLine="436"/>
        <w:spacing w:after="0" w:line="271" w:lineRule="auto"/>
        <w:tabs>
          <w:tab w:leader="none" w:pos="809" w:val="left"/>
        </w:tabs>
        <w:numPr>
          <w:ilvl w:val="0"/>
          <w:numId w:val="1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Projections</w:t>
      </w:r>
      <w:r>
        <w:rPr>
          <w:rFonts w:ascii="Times New Roman" w:cs="Times New Roman" w:eastAsia="Times New Roman" w:hAnsi="Times New Roman"/>
          <w:sz w:val="14"/>
          <w:szCs w:val="14"/>
          <w:color w:val="auto"/>
        </w:rPr>
        <w:t>. Forecasts prepared by management of Holdings, in form and substance satisfactory to Administrative Agent, of consolidated balance sheets of income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operations and cashflows of Holdings and its Subsidiaries on a monthly basis for the fiscal year ending December 31, 2023.</w:t>
      </w:r>
    </w:p>
    <w:p>
      <w:pPr>
        <w:spacing w:after="0" w:line="36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0880"/>
          </w:cols>
          <w:pgMar w:left="720" w:top="287" w:right="29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5" w:lineRule="exact"/>
        <w:rPr>
          <w:sz w:val="20"/>
          <w:szCs w:val="20"/>
          <w:color w:val="auto"/>
        </w:rPr>
      </w:pPr>
    </w:p>
    <w:p>
      <w:pPr>
        <w:jc w:val="both"/>
        <w:ind w:left="420" w:firstLine="436"/>
        <w:spacing w:after="0" w:line="254" w:lineRule="auto"/>
        <w:tabs>
          <w:tab w:leader="none" w:pos="1217" w:val="left"/>
        </w:tabs>
        <w:numPr>
          <w:ilvl w:val="0"/>
          <w:numId w:val="1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KYC Information; Beneficial Ownership</w:t>
      </w:r>
      <w:r>
        <w:rPr>
          <w:rFonts w:ascii="Times New Roman" w:cs="Times New Roman" w:eastAsia="Times New Roman" w:hAnsi="Times New Roman"/>
          <w:sz w:val="14"/>
          <w:szCs w:val="14"/>
          <w:color w:val="auto"/>
        </w:rPr>
        <w:t>. Each Loan Party shall have provided to Administrative Agent and the Lenders (i) the documentation and other information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requested by Administrative Agent as it deems necessary in order to comply with requirements of any anti-money laundering Laws, including, without limitation, the Patriot Act and any applicable “know your customer” rules and regulations and (ii) at least three (3) Business Days prior to the Closing Date, any Borrower that qualified as a “legal entity customer” under the Beneficial Ownership Regulation shall deliver a Beneficial Ownership Certification in relation to such Borrower;</w:t>
      </w:r>
    </w:p>
    <w:p>
      <w:pPr>
        <w:spacing w:after="0" w:line="2" w:lineRule="exact"/>
        <w:rPr>
          <w:rFonts w:ascii="Times New Roman" w:cs="Times New Roman" w:eastAsia="Times New Roman" w:hAnsi="Times New Roman"/>
          <w:sz w:val="14"/>
          <w:szCs w:val="14"/>
          <w:b w:val="1"/>
          <w:bCs w:val="1"/>
          <w:color w:val="auto"/>
        </w:rPr>
      </w:pPr>
    </w:p>
    <w:p>
      <w:pPr>
        <w:ind w:left="1180" w:hanging="324"/>
        <w:spacing w:after="0"/>
        <w:tabs>
          <w:tab w:leader="none" w:pos="1180" w:val="left"/>
        </w:tabs>
        <w:numPr>
          <w:ilvl w:val="0"/>
          <w:numId w:val="1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Minimum Availability</w:t>
      </w:r>
      <w:r>
        <w:rPr>
          <w:rFonts w:ascii="Times New Roman" w:cs="Times New Roman" w:eastAsia="Times New Roman" w:hAnsi="Times New Roman"/>
          <w:sz w:val="14"/>
          <w:szCs w:val="14"/>
          <w:color w:val="auto"/>
        </w:rPr>
        <w:t>. Evidence that, after giving effect to the initial Credit Extension hereunder, Availability shall be at least $50,000,000;</w:t>
      </w:r>
    </w:p>
    <w:p>
      <w:pPr>
        <w:spacing w:after="0" w:line="35" w:lineRule="exact"/>
        <w:rPr>
          <w:rFonts w:ascii="Times New Roman" w:cs="Times New Roman" w:eastAsia="Times New Roman" w:hAnsi="Times New Roman"/>
          <w:sz w:val="14"/>
          <w:szCs w:val="14"/>
          <w:b w:val="1"/>
          <w:bCs w:val="1"/>
          <w:color w:val="auto"/>
        </w:rPr>
      </w:pPr>
    </w:p>
    <w:p>
      <w:pPr>
        <w:ind w:left="420" w:firstLine="436"/>
        <w:spacing w:after="0" w:line="263" w:lineRule="auto"/>
        <w:tabs>
          <w:tab w:leader="none" w:pos="1182" w:val="left"/>
        </w:tabs>
        <w:numPr>
          <w:ilvl w:val="0"/>
          <w:numId w:val="1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Legal Due Diligence</w:t>
      </w:r>
      <w:r>
        <w:rPr>
          <w:rFonts w:ascii="Times New Roman" w:cs="Times New Roman" w:eastAsia="Times New Roman" w:hAnsi="Times New Roman"/>
          <w:sz w:val="14"/>
          <w:szCs w:val="14"/>
          <w:color w:val="auto"/>
        </w:rPr>
        <w:t>. Administrative Agent and its counsel shall have completed all legal due diligence (including review of any material agreements disclosed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Schedule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5.26</w:t>
      </w:r>
      <w:r>
        <w:rPr>
          <w:rFonts w:ascii="Times New Roman" w:cs="Times New Roman" w:eastAsia="Times New Roman" w:hAnsi="Times New Roman"/>
          <w:sz w:val="14"/>
          <w:szCs w:val="14"/>
          <w:color w:val="auto"/>
        </w:rPr>
        <w:t>), the results of which shall be satisfactory to Administrative Agent in its sole discretion.</w:t>
      </w:r>
    </w:p>
    <w:p>
      <w:pPr>
        <w:ind w:left="420" w:firstLine="436"/>
        <w:spacing w:after="0" w:line="268" w:lineRule="auto"/>
        <w:tabs>
          <w:tab w:leader="none" w:pos="1225" w:val="left"/>
        </w:tabs>
        <w:numPr>
          <w:ilvl w:val="0"/>
          <w:numId w:val="1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Closing Fees</w:t>
      </w:r>
      <w:r>
        <w:rPr>
          <w:rFonts w:ascii="Times New Roman" w:cs="Times New Roman" w:eastAsia="Times New Roman" w:hAnsi="Times New Roman"/>
          <w:sz w:val="14"/>
          <w:szCs w:val="14"/>
          <w:color w:val="auto"/>
        </w:rPr>
        <w:t>. Evidence that (i) all fees required to be paid to Administrative Agent and TCBI Securities, Inc., in its capacity as an Arranger, on or before the Closing Date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been paid, and (ii) all fees required to be paid to the Lenders on or before the Closing Date have been paid; and</w:t>
      </w:r>
    </w:p>
    <w:p>
      <w:pPr>
        <w:ind w:left="420" w:firstLine="436"/>
        <w:spacing w:after="0" w:line="266" w:lineRule="auto"/>
        <w:tabs>
          <w:tab w:leader="none" w:pos="1199" w:val="left"/>
        </w:tabs>
        <w:numPr>
          <w:ilvl w:val="0"/>
          <w:numId w:val="1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Additional Documentation</w:t>
      </w:r>
      <w:r>
        <w:rPr>
          <w:rFonts w:ascii="Times New Roman" w:cs="Times New Roman" w:eastAsia="Times New Roman" w:hAnsi="Times New Roman"/>
          <w:sz w:val="14"/>
          <w:szCs w:val="14"/>
          <w:color w:val="auto"/>
        </w:rPr>
        <w:t>. Administrative Agent shall have received such additional approvals, opinions, or documents as Administrative Agent or its legal counsel may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reasonably request.</w:t>
      </w:r>
    </w:p>
    <w:p>
      <w:pPr>
        <w:spacing w:after="0" w:line="1" w:lineRule="exact"/>
        <w:rPr>
          <w:sz w:val="20"/>
          <w:szCs w:val="20"/>
          <w:color w:val="auto"/>
        </w:rPr>
      </w:pPr>
    </w:p>
    <w:p>
      <w:pPr>
        <w:jc w:val="both"/>
        <w:ind w:left="420" w:firstLine="432"/>
        <w:spacing w:after="0" w:line="260" w:lineRule="auto"/>
        <w:rPr>
          <w:sz w:val="20"/>
          <w:szCs w:val="20"/>
          <w:color w:val="auto"/>
        </w:rPr>
      </w:pPr>
      <w:r>
        <w:rPr>
          <w:rFonts w:ascii="Times New Roman" w:cs="Times New Roman" w:eastAsia="Times New Roman" w:hAnsi="Times New Roman"/>
          <w:sz w:val="14"/>
          <w:szCs w:val="14"/>
          <w:color w:val="auto"/>
        </w:rPr>
        <w:t xml:space="preserve">For purposes of determining compliance with the conditions set forth in this </w:t>
      </w:r>
      <w:r>
        <w:rPr>
          <w:rFonts w:ascii="Times New Roman" w:cs="Times New Roman" w:eastAsia="Times New Roman" w:hAnsi="Times New Roman"/>
          <w:sz w:val="14"/>
          <w:szCs w:val="14"/>
          <w:b w:val="1"/>
          <w:bCs w:val="1"/>
          <w:i w:val="1"/>
          <w:iCs w:val="1"/>
          <w:color w:val="auto"/>
        </w:rPr>
        <w:t>Section 4.1</w:t>
      </w:r>
      <w:r>
        <w:rPr>
          <w:rFonts w:ascii="Times New Roman" w:cs="Times New Roman" w:eastAsia="Times New Roman" w:hAnsi="Times New Roman"/>
          <w:sz w:val="14"/>
          <w:szCs w:val="14"/>
          <w:color w:val="auto"/>
        </w:rPr>
        <w:t>, each Lender that has signed this Agreement shall be deemed to have consented to, approved or accepted or be satisfied with, each document or other matter required thereunder to be consented to or approved by or be acceptable or satisfactory to a Lender unless Administrative Agent shall have received notice from such Lender prior to the proposed Closing Date specifying its objection thereto.</w:t>
      </w:r>
    </w:p>
    <w:p>
      <w:pPr>
        <w:spacing w:after="0" w:line="1" w:lineRule="exact"/>
        <w:rPr>
          <w:sz w:val="20"/>
          <w:szCs w:val="20"/>
          <w:color w:val="auto"/>
        </w:rPr>
      </w:pPr>
    </w:p>
    <w:p>
      <w:pPr>
        <w:ind w:left="420"/>
        <w:spacing w:after="0"/>
        <w:tabs>
          <w:tab w:leader="none" w:pos="1280" w:val="left"/>
        </w:tabs>
        <w:rPr>
          <w:sz w:val="20"/>
          <w:szCs w:val="20"/>
          <w:color w:val="auto"/>
        </w:rPr>
      </w:pPr>
      <w:r>
        <w:rPr>
          <w:rFonts w:ascii="Times New Roman" w:cs="Times New Roman" w:eastAsia="Times New Roman" w:hAnsi="Times New Roman"/>
          <w:sz w:val="14"/>
          <w:szCs w:val="14"/>
          <w:color w:val="auto"/>
        </w:rPr>
        <w:t>Section 4.2</w:t>
      </w:r>
      <w:r>
        <w:rPr>
          <w:sz w:val="20"/>
          <w:szCs w:val="20"/>
          <w:color w:val="auto"/>
        </w:rPr>
        <w:tab/>
      </w:r>
      <w:r>
        <w:rPr>
          <w:rFonts w:ascii="Times New Roman" w:cs="Times New Roman" w:eastAsia="Times New Roman" w:hAnsi="Times New Roman"/>
          <w:sz w:val="14"/>
          <w:szCs w:val="14"/>
          <w:b w:val="1"/>
          <w:bCs w:val="1"/>
          <w:color w:val="auto"/>
        </w:rPr>
        <w:t xml:space="preserve">All Extensions of Credit. </w:t>
      </w:r>
      <w:r>
        <w:rPr>
          <w:rFonts w:ascii="Times New Roman" w:cs="Times New Roman" w:eastAsia="Times New Roman" w:hAnsi="Times New Roman"/>
          <w:sz w:val="14"/>
          <w:szCs w:val="14"/>
          <w:color w:val="auto"/>
        </w:rPr>
        <w:t>The obligation of Lenders to make any Credit Extension (other than with respect to the deemed issuance of the Existing Letters of Credit)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hereunder (including any Credit Extension on the Closing Date) is subject to the following additional conditions precedent:</w:t>
      </w:r>
    </w:p>
    <w:p>
      <w:pPr>
        <w:spacing w:after="0" w:line="19" w:lineRule="exact"/>
        <w:rPr>
          <w:sz w:val="20"/>
          <w:szCs w:val="20"/>
          <w:color w:val="auto"/>
        </w:rPr>
      </w:pPr>
    </w:p>
    <w:p>
      <w:pPr>
        <w:ind w:left="420" w:right="20" w:firstLine="436"/>
        <w:spacing w:after="0" w:line="261" w:lineRule="auto"/>
        <w:tabs>
          <w:tab w:leader="none" w:pos="1220" w:val="left"/>
        </w:tabs>
        <w:numPr>
          <w:ilvl w:val="0"/>
          <w:numId w:val="1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Request for Credit Extension</w:t>
      </w:r>
      <w:r>
        <w:rPr>
          <w:rFonts w:ascii="Times New Roman" w:cs="Times New Roman" w:eastAsia="Times New Roman" w:hAnsi="Times New Roman"/>
          <w:sz w:val="14"/>
          <w:szCs w:val="14"/>
          <w:color w:val="auto"/>
        </w:rPr>
        <w:t>. Administrative Agent shall have received in accordance with this Agreement, as the case may be, a Borrowing Request, Letter of Credit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Application, or Swing Line Loan Request, as applicable, pursuant to Administrative Agent’s requirements and executed by a Responsible Officer of the Borrower Representative;</w:t>
      </w:r>
    </w:p>
    <w:p>
      <w:pPr>
        <w:ind w:left="1180" w:hanging="324"/>
        <w:spacing w:after="0"/>
        <w:tabs>
          <w:tab w:leader="none" w:pos="1180" w:val="left"/>
        </w:tabs>
        <w:numPr>
          <w:ilvl w:val="0"/>
          <w:numId w:val="1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 Default</w:t>
      </w:r>
      <w:r>
        <w:rPr>
          <w:rFonts w:ascii="Times New Roman" w:cs="Times New Roman" w:eastAsia="Times New Roman" w:hAnsi="Times New Roman"/>
          <w:sz w:val="14"/>
          <w:szCs w:val="14"/>
          <w:color w:val="auto"/>
        </w:rPr>
        <w:t>. No Default or Event of Default shall have occurred and be continuing, or would result from or after giving effect to such Credit Extension;</w:t>
      </w:r>
    </w:p>
    <w:p>
      <w:pPr>
        <w:spacing w:after="0" w:line="37" w:lineRule="exact"/>
        <w:rPr>
          <w:rFonts w:ascii="Times New Roman" w:cs="Times New Roman" w:eastAsia="Times New Roman" w:hAnsi="Times New Roman"/>
          <w:sz w:val="14"/>
          <w:szCs w:val="14"/>
          <w:b w:val="1"/>
          <w:bCs w:val="1"/>
          <w:color w:val="auto"/>
        </w:rPr>
      </w:pPr>
    </w:p>
    <w:p>
      <w:pPr>
        <w:ind w:left="1180" w:hanging="324"/>
        <w:spacing w:after="0"/>
        <w:tabs>
          <w:tab w:leader="none" w:pos="1180" w:val="left"/>
        </w:tabs>
        <w:numPr>
          <w:ilvl w:val="0"/>
          <w:numId w:val="1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 Material Adverse Effect</w:t>
      </w:r>
      <w:r>
        <w:rPr>
          <w:rFonts w:ascii="Times New Roman" w:cs="Times New Roman" w:eastAsia="Times New Roman" w:hAnsi="Times New Roman"/>
          <w:sz w:val="14"/>
          <w:szCs w:val="14"/>
          <w:color w:val="auto"/>
        </w:rPr>
        <w:t>. No Material Adverse Effect shall have occurred and no circumstance shall exist that could reasonably be expected to have a Material Adverse</w:t>
      </w:r>
    </w:p>
    <w:p>
      <w:pPr>
        <w:spacing w:after="0" w:line="19" w:lineRule="exact"/>
        <w:rPr>
          <w:rFonts w:ascii="Times New Roman" w:cs="Times New Roman" w:eastAsia="Times New Roman" w:hAnsi="Times New Roman"/>
          <w:sz w:val="14"/>
          <w:szCs w:val="14"/>
          <w:b w:val="1"/>
          <w:bCs w:val="1"/>
          <w:color w:val="auto"/>
        </w:rPr>
      </w:pPr>
    </w:p>
    <w:p>
      <w:pPr>
        <w:ind w:left="4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Effect;</w:t>
      </w:r>
    </w:p>
    <w:p>
      <w:pPr>
        <w:spacing w:after="0" w:line="17" w:lineRule="exact"/>
        <w:rPr>
          <w:rFonts w:ascii="Times New Roman" w:cs="Times New Roman" w:eastAsia="Times New Roman" w:hAnsi="Times New Roman"/>
          <w:sz w:val="14"/>
          <w:szCs w:val="14"/>
          <w:b w:val="1"/>
          <w:bCs w:val="1"/>
          <w:color w:val="auto"/>
        </w:rPr>
      </w:pPr>
    </w:p>
    <w:p>
      <w:pPr>
        <w:jc w:val="both"/>
        <w:ind w:left="420" w:firstLine="436"/>
        <w:spacing w:after="0" w:line="247" w:lineRule="auto"/>
        <w:tabs>
          <w:tab w:leader="none" w:pos="1250" w:val="left"/>
        </w:tabs>
        <w:numPr>
          <w:ilvl w:val="0"/>
          <w:numId w:val="1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Representations and Warranties</w:t>
      </w:r>
      <w:r>
        <w:rPr>
          <w:rFonts w:ascii="Times New Roman" w:cs="Times New Roman" w:eastAsia="Times New Roman" w:hAnsi="Times New Roman"/>
          <w:sz w:val="14"/>
          <w:szCs w:val="14"/>
          <w:color w:val="auto"/>
        </w:rPr>
        <w:t>. All of the representations and warranties of each Borrower and each other Loan Party contained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Article 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in the other Loan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Documents shall (i) with respect to representations and warranties that contain a materiality qualification, be true and correct on and as of the date of such Borrowing, and (ii) with respect to representations and warranties that do not contain a materiality qualification, be true and correct in all material respects on and as of the date of such Borrowing, in each case with the same force and effect as if such representations and warranties had been made on and as of such date, except to the extent that such representations and warranties specifically refer to an earlier date, in which case they shall be true and correct in all material respects (or in the case of such representations and warranties that contain a materiality qualification, in all respects) as of such earlier date, and except that for purposes of this </w:t>
      </w:r>
      <w:r>
        <w:rPr>
          <w:rFonts w:ascii="Times New Roman" w:cs="Times New Roman" w:eastAsia="Times New Roman" w:hAnsi="Times New Roman"/>
          <w:sz w:val="14"/>
          <w:szCs w:val="14"/>
          <w:b w:val="1"/>
          <w:bCs w:val="1"/>
          <w:i w:val="1"/>
          <w:iCs w:val="1"/>
          <w:color w:val="auto"/>
        </w:rPr>
        <w:t>Section 4.2</w:t>
      </w:r>
      <w:r>
        <w:rPr>
          <w:rFonts w:ascii="Times New Roman" w:cs="Times New Roman" w:eastAsia="Times New Roman" w:hAnsi="Times New Roman"/>
          <w:sz w:val="14"/>
          <w:szCs w:val="14"/>
          <w:color w:val="auto"/>
        </w:rPr>
        <w:t xml:space="preserve">, the representations and warranties contained in </w:t>
      </w:r>
      <w:r>
        <w:rPr>
          <w:rFonts w:ascii="Times New Roman" w:cs="Times New Roman" w:eastAsia="Times New Roman" w:hAnsi="Times New Roman"/>
          <w:sz w:val="14"/>
          <w:szCs w:val="14"/>
          <w:b w:val="1"/>
          <w:bCs w:val="1"/>
          <w:i w:val="1"/>
          <w:iCs w:val="1"/>
          <w:color w:val="auto"/>
        </w:rPr>
        <w:t>Section 5.2</w:t>
      </w:r>
      <w:r>
        <w:rPr>
          <w:rFonts w:ascii="Times New Roman" w:cs="Times New Roman" w:eastAsia="Times New Roman" w:hAnsi="Times New Roman"/>
          <w:sz w:val="14"/>
          <w:szCs w:val="14"/>
          <w:color w:val="auto"/>
        </w:rPr>
        <w:t xml:space="preserve"> shall be deemed to refer to the most recent statements furnished pursuant to </w:t>
      </w:r>
      <w:r>
        <w:rPr>
          <w:rFonts w:ascii="Times New Roman" w:cs="Times New Roman" w:eastAsia="Times New Roman" w:hAnsi="Times New Roman"/>
          <w:sz w:val="14"/>
          <w:szCs w:val="14"/>
          <w:b w:val="1"/>
          <w:bCs w:val="1"/>
          <w:i w:val="1"/>
          <w:iCs w:val="1"/>
          <w:color w:val="auto"/>
        </w:rPr>
        <w:t>Section 6.1(a)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(b)</w:t>
      </w:r>
      <w:r>
        <w:rPr>
          <w:rFonts w:ascii="Times New Roman" w:cs="Times New Roman" w:eastAsia="Times New Roman" w:hAnsi="Times New Roman"/>
          <w:sz w:val="14"/>
          <w:szCs w:val="14"/>
          <w:color w:val="auto"/>
        </w:rPr>
        <w:t>, respectively; and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1300"/>
          </w:cols>
          <w:pgMar w:left="300" w:top="287" w:right="29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5" w:lineRule="exact"/>
        <w:rPr>
          <w:sz w:val="20"/>
          <w:szCs w:val="20"/>
          <w:color w:val="auto"/>
        </w:rPr>
      </w:pPr>
    </w:p>
    <w:p>
      <w:pPr>
        <w:jc w:val="both"/>
        <w:ind w:left="428" w:firstLine="436"/>
        <w:spacing w:after="0" w:line="258" w:lineRule="auto"/>
        <w:tabs>
          <w:tab w:leader="none" w:pos="1219" w:val="left"/>
        </w:tabs>
        <w:numPr>
          <w:ilvl w:val="0"/>
          <w:numId w:val="1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Availability Under Revolving Credit Facility</w:t>
      </w:r>
      <w:r>
        <w:rPr>
          <w:rFonts w:ascii="Times New Roman" w:cs="Times New Roman" w:eastAsia="Times New Roman" w:hAnsi="Times New Roman"/>
          <w:sz w:val="14"/>
          <w:szCs w:val="14"/>
          <w:color w:val="auto"/>
        </w:rPr>
        <w:t>. With respect to any request for a Credit Extension under the Commitments, immediately after giving effect to the Credit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Extension so requested, the total Revolving Credit Exposure of the Lenders shall not exceed the Line Cap in effect as of the date of such Credit Extension. Each Credit Extension hereunder shall be deemed to be a representation and warranty by each Borrower that the conditions specified in this </w:t>
      </w:r>
      <w:r>
        <w:rPr>
          <w:rFonts w:ascii="Times New Roman" w:cs="Times New Roman" w:eastAsia="Times New Roman" w:hAnsi="Times New Roman"/>
          <w:sz w:val="14"/>
          <w:szCs w:val="14"/>
          <w:b w:val="1"/>
          <w:bCs w:val="1"/>
          <w:i w:val="1"/>
          <w:iCs w:val="1"/>
          <w:color w:val="auto"/>
        </w:rPr>
        <w:t>Section 4.2</w:t>
      </w:r>
      <w:r>
        <w:rPr>
          <w:rFonts w:ascii="Times New Roman" w:cs="Times New Roman" w:eastAsia="Times New Roman" w:hAnsi="Times New Roman"/>
          <w:sz w:val="14"/>
          <w:szCs w:val="14"/>
          <w:color w:val="auto"/>
        </w:rPr>
        <w:t xml:space="preserve"> have been satisfied on and as of the date of the applicable Credit Extension.</w:t>
      </w:r>
    </w:p>
    <w:p>
      <w:pPr>
        <w:spacing w:after="0" w:line="3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REPRESENTATIONS AND WARRANTIES</w:t>
      </w:r>
    </w:p>
    <w:p>
      <w:pPr>
        <w:spacing w:after="0" w:line="22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To induce Administrative Agent and Lenders to enter into this Agreement, and to make Credit Extensions hereunder, each Loan Party represents and warrants to Administrative Agent and</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Lenders that:</w:t>
      </w:r>
    </w:p>
    <w:p>
      <w:pPr>
        <w:spacing w:after="0" w:line="19" w:lineRule="exact"/>
        <w:rPr>
          <w:sz w:val="20"/>
          <w:szCs w:val="20"/>
          <w:color w:val="auto"/>
        </w:rPr>
      </w:pPr>
    </w:p>
    <w:p>
      <w:pPr>
        <w:ind w:left="8"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5.1 </w:t>
      </w:r>
      <w:r>
        <w:rPr>
          <w:rFonts w:ascii="Times New Roman" w:cs="Times New Roman" w:eastAsia="Times New Roman" w:hAnsi="Times New Roman"/>
          <w:sz w:val="14"/>
          <w:szCs w:val="14"/>
          <w:b w:val="1"/>
          <w:bCs w:val="1"/>
          <w:u w:val="single" w:color="auto"/>
          <w:color w:val="auto"/>
        </w:rPr>
        <w:t>Entity Existence</w:t>
      </w:r>
      <w:r>
        <w:rPr>
          <w:rFonts w:ascii="Times New Roman" w:cs="Times New Roman" w:eastAsia="Times New Roman" w:hAnsi="Times New Roman"/>
          <w:sz w:val="14"/>
          <w:szCs w:val="14"/>
          <w:color w:val="auto"/>
        </w:rPr>
        <w:t>. Each Loan Party and each Subsidiary thereof (a) is duly incorporated or organized, as the case may be, validly existing, and in good standing under the Laws of the jurisdiction of its incorporation or organization; (b) has all requisite power and authority to own its assets and carry on its business as now being or as proposed to be conducted; and</w:t>
      </w:r>
    </w:p>
    <w:p>
      <w:pPr>
        <w:spacing w:after="0" w:line="1" w:lineRule="exact"/>
        <w:rPr>
          <w:sz w:val="20"/>
          <w:szCs w:val="20"/>
          <w:color w:val="auto"/>
        </w:rPr>
      </w:pPr>
    </w:p>
    <w:p>
      <w:pPr>
        <w:jc w:val="both"/>
        <w:ind w:left="8" w:hanging="8"/>
        <w:spacing w:after="0" w:line="249" w:lineRule="auto"/>
        <w:tabs>
          <w:tab w:leader="none" w:pos="216"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qualified to do business in all jurisdictions in which the nature of its business makes such qualification necessary and where failure to so qualify could reasonably be expected to have a Material Adverse Effect. Each of the Loan Parties has the power and authority to execute, deliver, and perform its obligations under this Agreement and the other Loan Documents to which it is or may become a party.</w:t>
      </w:r>
    </w:p>
    <w:p>
      <w:pPr>
        <w:spacing w:after="0" w:line="3" w:lineRule="exact"/>
        <w:rPr>
          <w:sz w:val="20"/>
          <w:szCs w:val="20"/>
          <w:color w:val="auto"/>
        </w:rPr>
      </w:pPr>
    </w:p>
    <w:p>
      <w:pPr>
        <w:jc w:val="both"/>
        <w:ind w:left="8" w:firstLine="432"/>
        <w:spacing w:after="0" w:line="244" w:lineRule="auto"/>
        <w:rPr>
          <w:sz w:val="20"/>
          <w:szCs w:val="20"/>
          <w:color w:val="auto"/>
        </w:rPr>
      </w:pPr>
      <w:r>
        <w:rPr>
          <w:rFonts w:ascii="Times New Roman" w:cs="Times New Roman" w:eastAsia="Times New Roman" w:hAnsi="Times New Roman"/>
          <w:sz w:val="14"/>
          <w:szCs w:val="14"/>
          <w:color w:val="auto"/>
        </w:rPr>
        <w:t xml:space="preserve">Section 5.2 </w:t>
      </w:r>
      <w:r>
        <w:rPr>
          <w:rFonts w:ascii="Times New Roman" w:cs="Times New Roman" w:eastAsia="Times New Roman" w:hAnsi="Times New Roman"/>
          <w:sz w:val="14"/>
          <w:szCs w:val="14"/>
          <w:b w:val="1"/>
          <w:bCs w:val="1"/>
          <w:u w:val="single" w:color="auto"/>
          <w:color w:val="auto"/>
        </w:rPr>
        <w:t>Financial Statements; Etc.</w:t>
      </w:r>
      <w:r>
        <w:rPr>
          <w:rFonts w:ascii="Times New Roman" w:cs="Times New Roman" w:eastAsia="Times New Roman" w:hAnsi="Times New Roman"/>
          <w:sz w:val="14"/>
          <w:szCs w:val="14"/>
          <w:color w:val="auto"/>
        </w:rPr>
        <w:t xml:space="preserve"> The Borrower Representative has delivered to Administrative Agent (a) audited consolidated financial statements of Holdings and its Subsidiaries as of and for the fiscal year ended December 31, 2021 and (b) unaudited consolidated financial statements of Holdings and its Subsidiaries as of and for the fiscal quarters ended March 31, 2022, June 30, 2022, September 30, 2022 and December 31, 2022. Such financial statements are true and correct in all material respects, have been prepared in accordance with GAAP, and fairly and accurately present, on a consolidated basis, the financial condition of Holdings and its Subsidiaries as of the respective dates indicated therein and the results of operations for the respective periods indicated therein. Neither Holdings nor any of its Subsidiaries has any material contingent liabilities, liabilities for taxes, unusual forward or long-term commitments, unrealized or anticipated losses from any unfavorable commitments except as referred to or reflected in such financial statements. No Material Adverse Effect and no circumstance which could reasonably be expected to result in a Material Adverse Effect has occurred since the date of the most recent audited financial statements referred to in this </w:t>
      </w:r>
      <w:r>
        <w:rPr>
          <w:rFonts w:ascii="Times New Roman" w:cs="Times New Roman" w:eastAsia="Times New Roman" w:hAnsi="Times New Roman"/>
          <w:sz w:val="14"/>
          <w:szCs w:val="14"/>
          <w:b w:val="1"/>
          <w:bCs w:val="1"/>
          <w:i w:val="1"/>
          <w:iCs w:val="1"/>
          <w:color w:val="auto"/>
        </w:rPr>
        <w:t>Section 5.2</w:t>
      </w:r>
      <w:r>
        <w:rPr>
          <w:rFonts w:ascii="Times New Roman" w:cs="Times New Roman" w:eastAsia="Times New Roman" w:hAnsi="Times New Roman"/>
          <w:sz w:val="14"/>
          <w:szCs w:val="14"/>
          <w:color w:val="auto"/>
        </w:rPr>
        <w:t xml:space="preserve">. All projections delivered by Holdings or the Borrower Representative to Administrative Agent and Lenders have been prepared in good faith, with care and diligence and using assumptions that are reasonable under the circumstances at the time such projections were prepared and delivered to Administrative Agent and Lenders and all such assumptions are disclosed in the projections. Other than the Debt listed on </w:t>
      </w:r>
      <w:r>
        <w:rPr>
          <w:rFonts w:ascii="Times New Roman" w:cs="Times New Roman" w:eastAsia="Times New Roman" w:hAnsi="Times New Roman"/>
          <w:sz w:val="14"/>
          <w:szCs w:val="14"/>
          <w:b w:val="1"/>
          <w:bCs w:val="1"/>
          <w:i w:val="1"/>
          <w:iCs w:val="1"/>
          <w:color w:val="auto"/>
        </w:rPr>
        <w:t>Schedule 7.1</w:t>
      </w:r>
      <w:r>
        <w:rPr>
          <w:rFonts w:ascii="Times New Roman" w:cs="Times New Roman" w:eastAsia="Times New Roman" w:hAnsi="Times New Roman"/>
          <w:sz w:val="14"/>
          <w:szCs w:val="14"/>
          <w:color w:val="auto"/>
        </w:rPr>
        <w:t xml:space="preserve"> and Debt otherwise permitted by </w:t>
      </w:r>
      <w:r>
        <w:rPr>
          <w:rFonts w:ascii="Times New Roman" w:cs="Times New Roman" w:eastAsia="Times New Roman" w:hAnsi="Times New Roman"/>
          <w:sz w:val="14"/>
          <w:szCs w:val="14"/>
          <w:b w:val="1"/>
          <w:bCs w:val="1"/>
          <w:i w:val="1"/>
          <w:iCs w:val="1"/>
          <w:color w:val="auto"/>
        </w:rPr>
        <w:t>Section 7.1</w:t>
      </w:r>
      <w:r>
        <w:rPr>
          <w:rFonts w:ascii="Times New Roman" w:cs="Times New Roman" w:eastAsia="Times New Roman" w:hAnsi="Times New Roman"/>
          <w:sz w:val="14"/>
          <w:szCs w:val="14"/>
          <w:color w:val="auto"/>
        </w:rPr>
        <w:t>, Holdings and each Subsidiary have no Debt.</w:t>
      </w:r>
    </w:p>
    <w:p>
      <w:pPr>
        <w:spacing w:after="0" w:line="10" w:lineRule="exact"/>
        <w:rPr>
          <w:sz w:val="20"/>
          <w:szCs w:val="20"/>
          <w:color w:val="auto"/>
        </w:rPr>
      </w:pPr>
    </w:p>
    <w:p>
      <w:pPr>
        <w:jc w:val="both"/>
        <w:ind w:left="8" w:firstLine="432"/>
        <w:spacing w:after="0" w:line="247" w:lineRule="auto"/>
        <w:rPr>
          <w:sz w:val="20"/>
          <w:szCs w:val="20"/>
          <w:color w:val="auto"/>
        </w:rPr>
      </w:pPr>
      <w:r>
        <w:rPr>
          <w:rFonts w:ascii="Times New Roman" w:cs="Times New Roman" w:eastAsia="Times New Roman" w:hAnsi="Times New Roman"/>
          <w:sz w:val="14"/>
          <w:szCs w:val="14"/>
          <w:color w:val="auto"/>
        </w:rPr>
        <w:t xml:space="preserve">Section 5.3 </w:t>
      </w:r>
      <w:r>
        <w:rPr>
          <w:rFonts w:ascii="Times New Roman" w:cs="Times New Roman" w:eastAsia="Times New Roman" w:hAnsi="Times New Roman"/>
          <w:sz w:val="14"/>
          <w:szCs w:val="14"/>
          <w:b w:val="1"/>
          <w:bCs w:val="1"/>
          <w:u w:val="single" w:color="auto"/>
          <w:color w:val="auto"/>
        </w:rPr>
        <w:t>Action; No Breach.</w:t>
      </w:r>
      <w:r>
        <w:rPr>
          <w:rFonts w:ascii="Times New Roman" w:cs="Times New Roman" w:eastAsia="Times New Roman" w:hAnsi="Times New Roman"/>
          <w:sz w:val="14"/>
          <w:szCs w:val="14"/>
          <w:color w:val="auto"/>
        </w:rPr>
        <w:t xml:space="preserve"> The execution, delivery, and performance by each Loan Party of this Agreement and the other Loan Documents to which such Person is or may become a party and compliance with the terms and provisions hereof and thereof have been duly authorized by all requisite action on the part of such Person and do not and will not (a) violate or conflict with, or result in a breach of, or require any consent under (i) the Constituent Documents of such Person (if such Person is not a natural person), (ii) any applicable Law, rule, or regulation or any order, writ, injunction, or decree of any Governmental Authority or arbitrator, or (iii) any agreement or instrument to which such Person is a party or by which it or any of its Properties is bound or subject which could reasonably be expected to have a Material Adverse Effect, or (b) constitute a default under any such agreement or instrument which could reasonably be expected to have a Material Adverse Effect, or result in the creation or imposition of any Lien upon any of the revenues or assets of such Person.</w:t>
      </w:r>
    </w:p>
    <w:p>
      <w:pPr>
        <w:spacing w:after="0" w:line="3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1308"/>
          </w:cols>
          <w:pgMar w:left="292" w:top="287" w:right="299" w:bottom="1440" w:gutter="0" w:footer="0" w:header="0"/>
        </w:sectPr>
      </w:pPr>
    </w:p>
    <w:bookmarkStart w:id="162" w:name="page163"/>
    <w:bookmarkEnd w:id="162"/>
    <w:p>
      <w:pPr>
        <w:ind w:left="1068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color w:val="auto"/>
        </w:rPr>
        <w:t xml:space="preserve">Section 5.4 </w:t>
      </w:r>
      <w:r>
        <w:rPr>
          <w:rFonts w:ascii="Times New Roman" w:cs="Times New Roman" w:eastAsia="Times New Roman" w:hAnsi="Times New Roman"/>
          <w:sz w:val="14"/>
          <w:szCs w:val="14"/>
          <w:b w:val="1"/>
          <w:bCs w:val="1"/>
          <w:u w:val="single" w:color="auto"/>
          <w:color w:val="auto"/>
        </w:rPr>
        <w:t>Operation of Business.</w:t>
      </w:r>
      <w:r>
        <w:rPr>
          <w:rFonts w:ascii="Times New Roman" w:cs="Times New Roman" w:eastAsia="Times New Roman" w:hAnsi="Times New Roman"/>
          <w:sz w:val="14"/>
          <w:szCs w:val="14"/>
          <w:color w:val="auto"/>
        </w:rPr>
        <w:t xml:space="preserve"> Each Loan Party and its Subsidiaries possesses all licenses, permits, consents, authorizations, franchises, patents, copyrights, trademarks, and trade names, or rights thereto, necessary to conduct its respective businesses substantially as now conducted and as presently proposed to be conducted, and, to the knowledge of the Loan Parties, no Loan Party or any of its Subsidiaries is in violation of any valid rights of others with respect to any of the foregoing which could reasonably be expected to have a Material Adverse Effect.</w:t>
      </w:r>
    </w:p>
    <w:p>
      <w:pPr>
        <w:spacing w:after="0" w:line="1"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 xml:space="preserve">Section 5.5 </w:t>
      </w:r>
      <w:r>
        <w:rPr>
          <w:rFonts w:ascii="Times New Roman" w:cs="Times New Roman" w:eastAsia="Times New Roman" w:hAnsi="Times New Roman"/>
          <w:sz w:val="14"/>
          <w:szCs w:val="14"/>
          <w:b w:val="1"/>
          <w:bCs w:val="1"/>
          <w:u w:val="single" w:color="auto"/>
          <w:color w:val="auto"/>
        </w:rPr>
        <w:t>Litigation and Judgments.</w:t>
      </w:r>
      <w:r>
        <w:rPr>
          <w:rFonts w:ascii="Times New Roman" w:cs="Times New Roman" w:eastAsia="Times New Roman" w:hAnsi="Times New Roman"/>
          <w:sz w:val="14"/>
          <w:szCs w:val="14"/>
          <w:color w:val="auto"/>
        </w:rPr>
        <w:t xml:space="preserve"> Except as specifically disclosed in </w:t>
      </w:r>
      <w:r>
        <w:rPr>
          <w:rFonts w:ascii="Times New Roman" w:cs="Times New Roman" w:eastAsia="Times New Roman" w:hAnsi="Times New Roman"/>
          <w:sz w:val="14"/>
          <w:szCs w:val="14"/>
          <w:b w:val="1"/>
          <w:bCs w:val="1"/>
          <w:i w:val="1"/>
          <w:iCs w:val="1"/>
          <w:color w:val="auto"/>
        </w:rPr>
        <w:t>Schedule 5.5</w:t>
      </w:r>
      <w:r>
        <w:rPr>
          <w:rFonts w:ascii="Times New Roman" w:cs="Times New Roman" w:eastAsia="Times New Roman" w:hAnsi="Times New Roman"/>
          <w:sz w:val="14"/>
          <w:szCs w:val="14"/>
          <w:color w:val="auto"/>
        </w:rPr>
        <w:t xml:space="preserve">, as of the date hereof, there is no action, suit, investigation, or proceeding before or by any Governmental Authority or arbitrator pending, or to the knowledge of any Loan Party, threatened against or affecting any Loan Party or any of its Subsidiaries or against any of their Properties that could, if adversely determined, reasonably be expected to have a Material Adverse Effect. As of the Closing Date, there are no outstanding judgments against any Loan Party or any of its Subsidiaries. Since the date hereof, to the knowledge of the Loan Parties, there has been no adverse change in the status of any matter set forth on </w:t>
      </w:r>
      <w:r>
        <w:rPr>
          <w:rFonts w:ascii="Times New Roman" w:cs="Times New Roman" w:eastAsia="Times New Roman" w:hAnsi="Times New Roman"/>
          <w:sz w:val="14"/>
          <w:szCs w:val="14"/>
          <w:b w:val="1"/>
          <w:bCs w:val="1"/>
          <w:i w:val="1"/>
          <w:iCs w:val="1"/>
          <w:color w:val="auto"/>
        </w:rPr>
        <w:t>Schedule 5.5</w:t>
      </w:r>
      <w:r>
        <w:rPr>
          <w:rFonts w:ascii="Times New Roman" w:cs="Times New Roman" w:eastAsia="Times New Roman" w:hAnsi="Times New Roman"/>
          <w:sz w:val="14"/>
          <w:szCs w:val="14"/>
          <w:color w:val="auto"/>
        </w:rPr>
        <w:t xml:space="preserve"> that, taking into account the availability of any appeals, could reasonably be expected to increase materially the likelihood of a Material Adverse Effect resulting therefrom.</w:t>
      </w:r>
    </w:p>
    <w:p>
      <w:pPr>
        <w:spacing w:after="0" w:line="4"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5.6</w:t>
      </w:r>
      <w:r>
        <w:rPr>
          <w:sz w:val="20"/>
          <w:szCs w:val="20"/>
          <w:color w:val="auto"/>
        </w:rPr>
        <w:tab/>
      </w:r>
      <w:r>
        <w:rPr>
          <w:rFonts w:ascii="Times New Roman" w:cs="Times New Roman" w:eastAsia="Times New Roman" w:hAnsi="Times New Roman"/>
          <w:sz w:val="14"/>
          <w:szCs w:val="14"/>
          <w:b w:val="1"/>
          <w:bCs w:val="1"/>
          <w:u w:val="single" w:color="auto"/>
          <w:color w:val="auto"/>
        </w:rPr>
        <w:t>Rights in Properties; Liens.</w:t>
      </w:r>
    </w:p>
    <w:p>
      <w:pPr>
        <w:spacing w:after="0" w:line="39" w:lineRule="exact"/>
        <w:rPr>
          <w:sz w:val="20"/>
          <w:szCs w:val="20"/>
          <w:color w:val="auto"/>
        </w:rPr>
      </w:pPr>
    </w:p>
    <w:p>
      <w:pPr>
        <w:ind w:left="420" w:firstLine="436"/>
        <w:spacing w:after="0" w:line="265" w:lineRule="auto"/>
        <w:tabs>
          <w:tab w:leader="none" w:pos="1164"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Loan Party and its Subsidiaries has good and indefeasible title to or valid leasehold interests in its respective Properties, including the Properties reflected in the financial statements described in </w:t>
      </w:r>
      <w:r>
        <w:rPr>
          <w:rFonts w:ascii="Times New Roman" w:cs="Times New Roman" w:eastAsia="Times New Roman" w:hAnsi="Times New Roman"/>
          <w:sz w:val="14"/>
          <w:szCs w:val="14"/>
          <w:b w:val="1"/>
          <w:bCs w:val="1"/>
          <w:i w:val="1"/>
          <w:iCs w:val="1"/>
          <w:color w:val="auto"/>
        </w:rPr>
        <w:t>Section 5.2</w:t>
      </w:r>
      <w:r>
        <w:rPr>
          <w:rFonts w:ascii="Times New Roman" w:cs="Times New Roman" w:eastAsia="Times New Roman" w:hAnsi="Times New Roman"/>
          <w:sz w:val="14"/>
          <w:szCs w:val="14"/>
          <w:color w:val="auto"/>
        </w:rPr>
        <w:t>, and none of the Properties of any Loan Party or any of its Subsidiaries is subject to any Lien, except Permitted Liens.</w:t>
      </w:r>
    </w:p>
    <w:p>
      <w:pPr>
        <w:jc w:val="both"/>
        <w:ind w:left="420" w:right="20" w:firstLine="436"/>
        <w:spacing w:after="0" w:line="259" w:lineRule="auto"/>
        <w:tabs>
          <w:tab w:leader="none" w:pos="1178" w:val="left"/>
        </w:tabs>
        <w:numPr>
          <w:ilvl w:val="0"/>
          <w:numId w:val="15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Schedule 5.6(b) </w:t>
      </w:r>
      <w:r>
        <w:rPr>
          <w:rFonts w:ascii="Times New Roman" w:cs="Times New Roman" w:eastAsia="Times New Roman" w:hAnsi="Times New Roman"/>
          <w:sz w:val="14"/>
          <w:szCs w:val="14"/>
          <w:color w:val="auto"/>
        </w:rPr>
        <w:t>sets forth a complete and accurate list of all real Property owned by each Loan Party and each of its Subsidiaries on the Closing Date, showing as of the date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hereof the street address, county or other relevant jurisdiction, state and record owner thereof. Each Loan Party and each of its Subsidiaries has good, indefeasible and insurable fee simple title to the real Property owned by such Loan Party or such Subsidiary, subject to Permitted Liens and easements, rights of way and restrictions of record.</w:t>
      </w:r>
    </w:p>
    <w:p>
      <w:pPr>
        <w:jc w:val="both"/>
        <w:ind w:left="420" w:firstLine="436"/>
        <w:spacing w:after="0" w:line="245" w:lineRule="auto"/>
        <w:tabs>
          <w:tab w:leader="none" w:pos="1163" w:val="left"/>
        </w:tabs>
        <w:numPr>
          <w:ilvl w:val="0"/>
          <w:numId w:val="15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Schedule 5.6(c) </w:t>
      </w:r>
      <w:r>
        <w:rPr>
          <w:rFonts w:ascii="Times New Roman" w:cs="Times New Roman" w:eastAsia="Times New Roman" w:hAnsi="Times New Roman"/>
          <w:sz w:val="14"/>
          <w:szCs w:val="14"/>
          <w:color w:val="auto"/>
        </w:rPr>
        <w:t>sets forth a complete and accurate list of all Leases under which any Loan Party or any of its Subsidiaries is the lessee on the Closing Date, showing as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date hereof the street address, county or other relevant jurisdiction, state, lessor, lessee, expiration date and annual rental cost thereof. Each such Lease is a legal, valid and binding obligation of the lessor thereof, enforceable in accordance with its terms, except as enforceability is limited by bankruptcy, insolvency, reorganization, moratorium or other applicable Laws relating to or affecting generally the enforcement of creditors’ rights and except to the extent that availability of the remedy of specific performance or injunctive relief is subject to the discretion of the court before which any proceeding therefor may be brought. Except to the extent agreed to by Administrative Agent, each Loan Party has provided Administrative Agent with Collateral Access Agreements with respect to all real estate Leases, each of which Collateral Access Agreements has been duly executed by the landlord or such landlord’s duly authorized representative (as set forth on </w:t>
      </w:r>
      <w:r>
        <w:rPr>
          <w:rFonts w:ascii="Times New Roman" w:cs="Times New Roman" w:eastAsia="Times New Roman" w:hAnsi="Times New Roman"/>
          <w:sz w:val="14"/>
          <w:szCs w:val="14"/>
          <w:b w:val="1"/>
          <w:bCs w:val="1"/>
          <w:i w:val="1"/>
          <w:iCs w:val="1"/>
          <w:color w:val="auto"/>
        </w:rPr>
        <w:t>Schedule 5.6(c)</w:t>
      </w:r>
      <w:r>
        <w:rPr>
          <w:rFonts w:ascii="Times New Roman" w:cs="Times New Roman" w:eastAsia="Times New Roman" w:hAnsi="Times New Roman"/>
          <w:sz w:val="14"/>
          <w:szCs w:val="14"/>
          <w:color w:val="auto"/>
        </w:rPr>
        <w:t xml:space="preserve">) and each of which Collateral Access Agreements is, to the actual knowledge of each Loan Party, fully enforceable under the terms and conditions of the Leases and applicable state, local or municipal law;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to the extent a Collateral Access Agreement has not been provided for such location, a Rent Reserve for rent, charges and other amounts due or to become due with respect to such Lease may be established by Administrative Agent in its Permitted Discretion.</w:t>
      </w:r>
    </w:p>
    <w:p>
      <w:pPr>
        <w:spacing w:after="0" w:line="8"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4"/>
          <w:szCs w:val="14"/>
          <w:color w:val="auto"/>
        </w:rPr>
        <w:t xml:space="preserve">Section 5.7 </w:t>
      </w:r>
      <w:r>
        <w:rPr>
          <w:rFonts w:ascii="Times New Roman" w:cs="Times New Roman" w:eastAsia="Times New Roman" w:hAnsi="Times New Roman"/>
          <w:sz w:val="14"/>
          <w:szCs w:val="14"/>
          <w:b w:val="1"/>
          <w:bCs w:val="1"/>
          <w:u w:val="single" w:color="auto"/>
          <w:color w:val="auto"/>
        </w:rPr>
        <w:t>Enforceability.</w:t>
      </w:r>
      <w:r>
        <w:rPr>
          <w:rFonts w:ascii="Times New Roman" w:cs="Times New Roman" w:eastAsia="Times New Roman" w:hAnsi="Times New Roman"/>
          <w:sz w:val="14"/>
          <w:szCs w:val="14"/>
          <w:color w:val="auto"/>
        </w:rPr>
        <w:t xml:space="preserve"> This Agreement constitutes, and the other Loan Documents to which any Loan Party is a party, when delivered, shall constitute legal, valid, and binding obligations of such Person, enforceable against such Person in accordance with their respective terms, except as limited by Debtor Relief Laws.</w:t>
      </w:r>
    </w:p>
    <w:p>
      <w:pPr>
        <w:ind w:right="20" w:firstLine="432"/>
        <w:spacing w:after="0" w:line="285" w:lineRule="auto"/>
        <w:rPr>
          <w:sz w:val="20"/>
          <w:szCs w:val="20"/>
          <w:color w:val="auto"/>
        </w:rPr>
      </w:pPr>
      <w:r>
        <w:rPr>
          <w:rFonts w:ascii="Times New Roman" w:cs="Times New Roman" w:eastAsia="Times New Roman" w:hAnsi="Times New Roman"/>
          <w:sz w:val="14"/>
          <w:szCs w:val="14"/>
          <w:color w:val="auto"/>
        </w:rPr>
        <w:t xml:space="preserve">Section 5.8 </w:t>
      </w:r>
      <w:r>
        <w:rPr>
          <w:rFonts w:ascii="Times New Roman" w:cs="Times New Roman" w:eastAsia="Times New Roman" w:hAnsi="Times New Roman"/>
          <w:sz w:val="14"/>
          <w:szCs w:val="14"/>
          <w:b w:val="1"/>
          <w:bCs w:val="1"/>
          <w:u w:val="single" w:color="auto"/>
          <w:color w:val="auto"/>
        </w:rPr>
        <w:t>Approvals.</w:t>
      </w:r>
      <w:r>
        <w:rPr>
          <w:rFonts w:ascii="Times New Roman" w:cs="Times New Roman" w:eastAsia="Times New Roman" w:hAnsi="Times New Roman"/>
          <w:sz w:val="14"/>
          <w:szCs w:val="14"/>
          <w:color w:val="auto"/>
        </w:rPr>
        <w:t xml:space="preserve"> No authorization, approval, or consent of, and no filing or registration with, any Governmental Authority or third party (other than filings and registrations to perfect Liens) is or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1300"/>
          </w:cols>
          <w:pgMar w:left="300" w:top="287" w:right="29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will be necessary for the execution, delivery, or performance by any Loan Party of this Agreement and the other Loan Documents to which such Person is or may become a party or the validity or enforceability thereof.</w:t>
      </w:r>
    </w:p>
    <w:p>
      <w:pPr>
        <w:spacing w:after="0" w:line="1"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4"/>
          <w:szCs w:val="14"/>
          <w:color w:val="auto"/>
        </w:rPr>
        <w:t xml:space="preserve">Section 5.9 </w:t>
      </w:r>
      <w:r>
        <w:rPr>
          <w:rFonts w:ascii="Times New Roman" w:cs="Times New Roman" w:eastAsia="Times New Roman" w:hAnsi="Times New Roman"/>
          <w:sz w:val="14"/>
          <w:szCs w:val="14"/>
          <w:b w:val="1"/>
          <w:bCs w:val="1"/>
          <w:u w:val="single" w:color="auto"/>
          <w:color w:val="auto"/>
        </w:rPr>
        <w:t>Taxes.</w:t>
      </w:r>
      <w:r>
        <w:rPr>
          <w:rFonts w:ascii="Times New Roman" w:cs="Times New Roman" w:eastAsia="Times New Roman" w:hAnsi="Times New Roman"/>
          <w:sz w:val="14"/>
          <w:szCs w:val="14"/>
          <w:color w:val="auto"/>
        </w:rPr>
        <w:t xml:space="preserve"> Each Loan Party and its Subsidiaries has filed on a timely basis all Tax Returns required to be filed, including all income, franchise, employment, Property, and sales Tax Returns. To the knowledge of the Loan Parties, each such Tax Return is true, correct and complete in all respects. Each Loan Party and its Subsidiaries has paid all of its respective liabilities for Taxes, assessments, governmental charges, and other levies that are due and payable (whether or not shown on any Tax Return), other than Taxes, if any, set forth on </w:t>
      </w:r>
      <w:r>
        <w:rPr>
          <w:rFonts w:ascii="Times New Roman" w:cs="Times New Roman" w:eastAsia="Times New Roman" w:hAnsi="Times New Roman"/>
          <w:sz w:val="14"/>
          <w:szCs w:val="14"/>
          <w:b w:val="1"/>
          <w:bCs w:val="1"/>
          <w:i w:val="1"/>
          <w:iCs w:val="1"/>
          <w:color w:val="auto"/>
        </w:rPr>
        <w:t>Schedule 5.9</w:t>
      </w:r>
      <w:r>
        <w:rPr>
          <w:rFonts w:ascii="Times New Roman" w:cs="Times New Roman" w:eastAsia="Times New Roman" w:hAnsi="Times New Roman"/>
          <w:sz w:val="14"/>
          <w:szCs w:val="14"/>
          <w:color w:val="auto"/>
        </w:rPr>
        <w:t>, the payment of which is being contested in good faith and by appropriate proceedings and reserves for the payment of which are being maintained in accordance with GAAP. Each Loan Party knows of no pending investigation of any Loan Party or any of its Subsidiaries by any taxing authority or of any pending but unassessed tax liability of any Loan Party or any of its Subsidiaries. No claim has ever been made or, to the actual knowledge of the Loan Parties, is expected to be made by any Governmental Authority in a jurisdiction where any Loan Party or its Subsidiaries does not file Tax Returns that it is or may be subject to taxation by that jurisdiction. Each Loan Party and its Subsidiaries has not given or been requested to give waivers or extensions (or is or would be subject to a waiver or extension given by any other Person) of any statute of limitations relating to the payment of Taxes of each Loan Party or its Subsidiaries or for which each Loan Party or its Subsidiaries may be liable. No Loan Party or any Subsidiary thereof is, or has been party to any Tax sharing agreement, Tax allocation agreement, Tax indemnity obligation or similar written or unwritten agreement, arrangement, understanding or practice with respect to Taxes.</w:t>
      </w:r>
    </w:p>
    <w:p>
      <w:pPr>
        <w:spacing w:after="0" w:line="10"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4"/>
          <w:szCs w:val="14"/>
          <w:color w:val="auto"/>
        </w:rPr>
        <w:t xml:space="preserve">Section 5.10 </w:t>
      </w:r>
      <w:r>
        <w:rPr>
          <w:rFonts w:ascii="Times New Roman" w:cs="Times New Roman" w:eastAsia="Times New Roman" w:hAnsi="Times New Roman"/>
          <w:sz w:val="14"/>
          <w:szCs w:val="14"/>
          <w:b w:val="1"/>
          <w:bCs w:val="1"/>
          <w:u w:val="single" w:color="auto"/>
          <w:color w:val="auto"/>
        </w:rPr>
        <w:t>Use of Proceeds; Margin Securities.</w:t>
      </w:r>
      <w:r>
        <w:rPr>
          <w:rFonts w:ascii="Times New Roman" w:cs="Times New Roman" w:eastAsia="Times New Roman" w:hAnsi="Times New Roman"/>
          <w:sz w:val="14"/>
          <w:szCs w:val="14"/>
          <w:color w:val="auto"/>
        </w:rPr>
        <w:t xml:space="preserve"> The proceeds of the Revolving Credit Borrowings shall be used by Borrowers for working capital in the ordinary course of business, capital expenditures and other general corporate purposes. No Loan Party nor any of its Subsidiaries is engaged principally, or as one of its important activities, in the business of extending credit for the purpose of purchasing or carrying margin stock (within the meaning of Regulations T, U, or X of the Board of Governors), and no part of the proceeds of any Loan will be used to purchase or carry any margin stock or to extend credit to others for the purpose of purchasing or carrying margin stock. No part of the proceeds of any Loan will be used directly or indirectly to fund any operations in, finance any investments or activities in or make any payments to, a Sanctioned Person, or in any other manner that will result in any violation by any Person (including any Lender, any Arranger or Administrative Agent) of any Anti-Terrorism Laws, Anti-Corruption Laws or any Sanctions.</w:t>
      </w:r>
    </w:p>
    <w:p>
      <w:pPr>
        <w:spacing w:after="0" w:line="5"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4"/>
          <w:szCs w:val="14"/>
          <w:color w:val="auto"/>
        </w:rPr>
        <w:t xml:space="preserve">Section 5.11 </w:t>
      </w:r>
      <w:r>
        <w:rPr>
          <w:rFonts w:ascii="Times New Roman" w:cs="Times New Roman" w:eastAsia="Times New Roman" w:hAnsi="Times New Roman"/>
          <w:sz w:val="14"/>
          <w:szCs w:val="14"/>
          <w:b w:val="1"/>
          <w:bCs w:val="1"/>
          <w:u w:val="single" w:color="auto"/>
          <w:color w:val="auto"/>
        </w:rPr>
        <w:t>ERISA</w:t>
      </w:r>
      <w:r>
        <w:rPr>
          <w:rFonts w:ascii="Times New Roman" w:cs="Times New Roman" w:eastAsia="Times New Roman" w:hAnsi="Times New Roman"/>
          <w:sz w:val="14"/>
          <w:szCs w:val="14"/>
          <w:color w:val="auto"/>
        </w:rPr>
        <w:t xml:space="preserve">. Each Plan that is intended to qualify under Section 401(a) of the Code has received a favorable determination letter from the IRS or an application for such a letter is currently being processed by the IRS with respect thereto and, to the knowledge of each Loan Party, nothing has occurred which would prevent, or cause the loss of, such qualification. No application for a funding waiver or an extension of any amortization period pursuant to Section 412 of the Code has been made with respect to any Plan. There are no pending or, to the knowledge of any Loan Party, threatened claims, actions or lawsuits, or action by any Governmental Authority with respect to any Plan or Multiemployer Plan that could reasonably be expected to have a Material Adverse Effect. There has been no Prohibited Transaction or violation of the fiduciary responsibility rules with respect to any Plan or Multiemployer Plan that could be reasonably expected to have a Material Adverse Effect. No ERISA Event has occurred, and no Loan Party is aware of any facts, events or circumstances that, either individually or in the aggregate, could in each case reasonably be expected to have a Material Adverse Effect. No Plan has any Unfunded Pension Liability. No Multiemployer Plan is insolvent within the meaning of Section 4245 of ERISA. No Loan Party or ERISA Affiliate has incurred, or reasonably expects to incur, any liability under Title IV of ERISA with respect to any Plan (other than premiums due and not delinquent under </w:t>
      </w:r>
      <w:r>
        <w:rPr>
          <w:rFonts w:ascii="Times New Roman" w:cs="Times New Roman" w:eastAsia="Times New Roman" w:hAnsi="Times New Roman"/>
          <w:sz w:val="14"/>
          <w:szCs w:val="14"/>
          <w:i w:val="1"/>
          <w:iCs w:val="1"/>
          <w:color w:val="auto"/>
        </w:rPr>
        <w:t>Section 4007</w:t>
      </w:r>
      <w:r>
        <w:rPr>
          <w:rFonts w:ascii="Times New Roman" w:cs="Times New Roman" w:eastAsia="Times New Roman" w:hAnsi="Times New Roman"/>
          <w:sz w:val="14"/>
          <w:szCs w:val="14"/>
          <w:color w:val="auto"/>
        </w:rPr>
        <w:t xml:space="preserve"> of ERISA). No Loan Party or ERISA Affiliate has incurred, or reasonably expects to incur, any liability (and no event has occurred which, with the giving of notice under </w:t>
      </w:r>
      <w:r>
        <w:rPr>
          <w:rFonts w:ascii="Times New Roman" w:cs="Times New Roman" w:eastAsia="Times New Roman" w:hAnsi="Times New Roman"/>
          <w:sz w:val="14"/>
          <w:szCs w:val="14"/>
          <w:i w:val="1"/>
          <w:iCs w:val="1"/>
          <w:color w:val="auto"/>
        </w:rPr>
        <w:t xml:space="preserve">Section 4219 </w:t>
      </w:r>
      <w:r>
        <w:rPr>
          <w:rFonts w:ascii="Times New Roman" w:cs="Times New Roman" w:eastAsia="Times New Roman" w:hAnsi="Times New Roman"/>
          <w:sz w:val="14"/>
          <w:szCs w:val="14"/>
          <w:color w:val="auto"/>
        </w:rPr>
        <w:t>of ERISA, would result in such liability) under</w:t>
      </w:r>
      <w:r>
        <w:rPr>
          <w:rFonts w:ascii="Times New Roman" w:cs="Times New Roman" w:eastAsia="Times New Roman" w:hAnsi="Times New Roman"/>
          <w:sz w:val="14"/>
          <w:szCs w:val="14"/>
          <w:i w:val="1"/>
          <w:iCs w:val="1"/>
          <w:color w:val="auto"/>
        </w:rPr>
        <w:t xml:space="preserve"> Section 4201 </w:t>
      </w:r>
      <w:r>
        <w:rPr>
          <w:rFonts w:ascii="Times New Roman" w:cs="Times New Roman" w:eastAsia="Times New Roman" w:hAnsi="Times New Roman"/>
          <w:sz w:val="14"/>
          <w:szCs w:val="14"/>
          <w:color w:val="auto"/>
        </w:rPr>
        <w:t>of ERISA with respect to a Multiemployer Plan. No</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1300"/>
          </w:cols>
          <w:pgMar w:left="300" w:top="287" w:right="29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Loan Party or ERISA Affiliate has engaged in a transaction that could be subject to </w:t>
      </w:r>
      <w:r>
        <w:rPr>
          <w:rFonts w:ascii="Times New Roman" w:cs="Times New Roman" w:eastAsia="Times New Roman" w:hAnsi="Times New Roman"/>
          <w:sz w:val="14"/>
          <w:szCs w:val="14"/>
          <w:i w:val="1"/>
          <w:iCs w:val="1"/>
          <w:color w:val="auto"/>
        </w:rPr>
        <w:t>Section 4069</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4212(c)</w:t>
      </w:r>
      <w:r>
        <w:rPr>
          <w:rFonts w:ascii="Times New Roman" w:cs="Times New Roman" w:eastAsia="Times New Roman" w:hAnsi="Times New Roman"/>
          <w:sz w:val="14"/>
          <w:szCs w:val="14"/>
          <w:color w:val="auto"/>
        </w:rPr>
        <w:t xml:space="preserve"> of ERISA.</w:t>
      </w:r>
    </w:p>
    <w:p>
      <w:pPr>
        <w:spacing w:after="0" w:line="37"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5.12</w:t>
      </w:r>
      <w:r>
        <w:rPr>
          <w:sz w:val="20"/>
          <w:szCs w:val="20"/>
          <w:color w:val="auto"/>
        </w:rPr>
        <w:tab/>
      </w:r>
      <w:r>
        <w:rPr>
          <w:rFonts w:ascii="Times New Roman" w:cs="Times New Roman" w:eastAsia="Times New Roman" w:hAnsi="Times New Roman"/>
          <w:sz w:val="14"/>
          <w:szCs w:val="14"/>
          <w:b w:val="1"/>
          <w:bCs w:val="1"/>
          <w:u w:val="single" w:color="auto"/>
          <w:color w:val="auto"/>
        </w:rPr>
        <w:t>Disclosure.</w:t>
      </w:r>
    </w:p>
    <w:p>
      <w:pPr>
        <w:spacing w:after="0" w:line="39" w:lineRule="exact"/>
        <w:rPr>
          <w:sz w:val="20"/>
          <w:szCs w:val="20"/>
          <w:color w:val="auto"/>
        </w:rPr>
      </w:pPr>
    </w:p>
    <w:p>
      <w:pPr>
        <w:jc w:val="both"/>
        <w:ind w:left="420" w:firstLine="436"/>
        <w:spacing w:after="0" w:line="251" w:lineRule="auto"/>
        <w:tabs>
          <w:tab w:leader="none" w:pos="1162"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statement, information, report, representation, or warranty made by any Loan Party in this Agreement or in any other Loan Document or furnished to Administrative Agent or any Lender in connection with this Agreement or any of the transactions contemplated hereby contains any untrue statement of a material fact or omits to state any material fact necessary to make the statements herein or therein not misleading. There is no fact known to any Loan Party which could reasonably be expected to have a Material Adverse Effect, or which might in the future could reasonably be expected to have a Material Adverse Effect that has not been disclosed in writing to Administrative Agent and each Lender.</w:t>
      </w:r>
    </w:p>
    <w:p>
      <w:pPr>
        <w:spacing w:after="0" w:line="1"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Closing Date, the information included in the Beneficial Ownership Certification is true and correct in all respects.</w:t>
      </w:r>
    </w:p>
    <w:p>
      <w:pPr>
        <w:spacing w:after="0" w:line="33"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4"/>
          <w:szCs w:val="14"/>
          <w:color w:val="auto"/>
        </w:rPr>
        <w:t xml:space="preserve">Section 5.13 </w:t>
      </w:r>
      <w:r>
        <w:rPr>
          <w:rFonts w:ascii="Times New Roman" w:cs="Times New Roman" w:eastAsia="Times New Roman" w:hAnsi="Times New Roman"/>
          <w:sz w:val="14"/>
          <w:szCs w:val="14"/>
          <w:u w:val="single" w:color="auto"/>
          <w:color w:val="auto"/>
        </w:rPr>
        <w:t>Subsidiaries.</w:t>
      </w:r>
      <w:r>
        <w:rPr>
          <w:rFonts w:ascii="Times New Roman" w:cs="Times New Roman" w:eastAsia="Times New Roman" w:hAnsi="Times New Roman"/>
          <w:sz w:val="14"/>
          <w:szCs w:val="14"/>
          <w:color w:val="auto"/>
        </w:rPr>
        <w:t xml:space="preserve"> No Loan Party has any Subsidiaries other than those listed on </w:t>
      </w:r>
      <w:r>
        <w:rPr>
          <w:rFonts w:ascii="Times New Roman" w:cs="Times New Roman" w:eastAsia="Times New Roman" w:hAnsi="Times New Roman"/>
          <w:sz w:val="14"/>
          <w:szCs w:val="14"/>
          <w:b w:val="1"/>
          <w:bCs w:val="1"/>
          <w:i w:val="1"/>
          <w:iCs w:val="1"/>
          <w:color w:val="auto"/>
        </w:rPr>
        <w:t>Schedule 5.13</w:t>
      </w:r>
      <w:r>
        <w:rPr>
          <w:rFonts w:ascii="Times New Roman" w:cs="Times New Roman" w:eastAsia="Times New Roman" w:hAnsi="Times New Roman"/>
          <w:sz w:val="14"/>
          <w:szCs w:val="14"/>
          <w:color w:val="auto"/>
        </w:rPr>
        <w:t xml:space="preserve"> (and, if subsequent to the Closing Date, such additional Subsidiaries as have been formed or acquired in compliance with </w:t>
      </w:r>
      <w:r>
        <w:rPr>
          <w:rFonts w:ascii="Times New Roman" w:cs="Times New Roman" w:eastAsia="Times New Roman" w:hAnsi="Times New Roman"/>
          <w:sz w:val="14"/>
          <w:szCs w:val="14"/>
          <w:b w:val="1"/>
          <w:bCs w:val="1"/>
          <w:i w:val="1"/>
          <w:iCs w:val="1"/>
          <w:color w:val="auto"/>
        </w:rPr>
        <w:t>Section 6.13</w:t>
      </w:r>
      <w:r>
        <w:rPr>
          <w:rFonts w:ascii="Times New Roman" w:cs="Times New Roman" w:eastAsia="Times New Roman" w:hAnsi="Times New Roman"/>
          <w:sz w:val="14"/>
          <w:szCs w:val="14"/>
          <w:color w:val="auto"/>
        </w:rPr>
        <w:t xml:space="preserve"> and to the extent permitted to be acquired by this Agreement) and </w:t>
      </w:r>
      <w:r>
        <w:rPr>
          <w:rFonts w:ascii="Times New Roman" w:cs="Times New Roman" w:eastAsia="Times New Roman" w:hAnsi="Times New Roman"/>
          <w:sz w:val="14"/>
          <w:szCs w:val="14"/>
          <w:b w:val="1"/>
          <w:bCs w:val="1"/>
          <w:i w:val="1"/>
          <w:iCs w:val="1"/>
          <w:color w:val="auto"/>
        </w:rPr>
        <w:t>Schedule 5.13</w:t>
      </w:r>
      <w:r>
        <w:rPr>
          <w:rFonts w:ascii="Times New Roman" w:cs="Times New Roman" w:eastAsia="Times New Roman" w:hAnsi="Times New Roman"/>
          <w:sz w:val="14"/>
          <w:szCs w:val="14"/>
          <w:color w:val="auto"/>
        </w:rPr>
        <w:t xml:space="preserve"> sets forth the jurisdiction of incorporation or organization of each Subsidiary and the percentage of each Loan Party’s ownership interest in such Subsidiary. All of the outstanding capital stock or other Equity Interests of each Subsidiary described on </w:t>
      </w:r>
      <w:r>
        <w:rPr>
          <w:rFonts w:ascii="Times New Roman" w:cs="Times New Roman" w:eastAsia="Times New Roman" w:hAnsi="Times New Roman"/>
          <w:sz w:val="14"/>
          <w:szCs w:val="14"/>
          <w:b w:val="1"/>
          <w:bCs w:val="1"/>
          <w:i w:val="1"/>
          <w:iCs w:val="1"/>
          <w:color w:val="auto"/>
        </w:rPr>
        <w:t xml:space="preserve">Schedule 5.13 </w:t>
      </w:r>
      <w:r>
        <w:rPr>
          <w:rFonts w:ascii="Times New Roman" w:cs="Times New Roman" w:eastAsia="Times New Roman" w:hAnsi="Times New Roman"/>
          <w:sz w:val="14"/>
          <w:szCs w:val="14"/>
          <w:color w:val="auto"/>
        </w:rPr>
        <w:t>have been validly issued, are fully paid, and are nonassessable. There are no outstanding subscriptions, options, warrants, calls, rights or other agreements or commitments of any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nature relating to any Equity Interests of any Loan Party or any Subsidiary except for options granted to employees of Holdings. As of the Closing Date, there are no Excluded Subsidiaries other than those listed on </w:t>
      </w:r>
      <w:r>
        <w:rPr>
          <w:rFonts w:ascii="Times New Roman" w:cs="Times New Roman" w:eastAsia="Times New Roman" w:hAnsi="Times New Roman"/>
          <w:sz w:val="14"/>
          <w:szCs w:val="14"/>
          <w:b w:val="1"/>
          <w:bCs w:val="1"/>
          <w:i w:val="1"/>
          <w:iCs w:val="1"/>
          <w:color w:val="auto"/>
        </w:rPr>
        <w:t>Schedule 5.13</w:t>
      </w:r>
      <w:r>
        <w:rPr>
          <w:rFonts w:ascii="Times New Roman" w:cs="Times New Roman" w:eastAsia="Times New Roman" w:hAnsi="Times New Roman"/>
          <w:sz w:val="14"/>
          <w:szCs w:val="14"/>
          <w:color w:val="auto"/>
        </w:rPr>
        <w:t>.</w:t>
      </w:r>
    </w:p>
    <w:p>
      <w:pPr>
        <w:spacing w:after="0" w:line="4"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4"/>
          <w:szCs w:val="14"/>
          <w:color w:val="auto"/>
        </w:rPr>
        <w:t xml:space="preserve">Section 5.14 </w:t>
      </w:r>
      <w:r>
        <w:rPr>
          <w:rFonts w:ascii="Times New Roman" w:cs="Times New Roman" w:eastAsia="Times New Roman" w:hAnsi="Times New Roman"/>
          <w:sz w:val="14"/>
          <w:szCs w:val="14"/>
          <w:b w:val="1"/>
          <w:bCs w:val="1"/>
          <w:u w:val="single" w:color="auto"/>
          <w:color w:val="auto"/>
        </w:rPr>
        <w:t>Agreements.</w:t>
      </w:r>
      <w:r>
        <w:rPr>
          <w:rFonts w:ascii="Times New Roman" w:cs="Times New Roman" w:eastAsia="Times New Roman" w:hAnsi="Times New Roman"/>
          <w:sz w:val="14"/>
          <w:szCs w:val="14"/>
          <w:color w:val="auto"/>
        </w:rPr>
        <w:t xml:space="preserve"> No Loan Party nor any of its Subsidiaries is a party to any indenture, loan, or credit agreement, or to any lease or other agreement or instrument, or subject to any charter or corporate or other organizational restriction, in each case which could, individually or in the aggregate, reasonably be expected to have a Material Adverse Effect. No Loan Party nor any of its Subsidiaries is in default in any respect in the performance, observance, or fulfillment of any of the obligations, covenants, or conditions contained in any agreement or instrument material to its business to which it is a party which could, individually or in the aggregate, reasonably be expected to have a Material Adverse Effect.</w:t>
      </w:r>
    </w:p>
    <w:p>
      <w:pPr>
        <w:jc w:val="both"/>
        <w:ind w:firstLine="432"/>
        <w:spacing w:after="0" w:line="267" w:lineRule="auto"/>
        <w:rPr>
          <w:sz w:val="20"/>
          <w:szCs w:val="20"/>
          <w:color w:val="auto"/>
        </w:rPr>
      </w:pPr>
      <w:r>
        <w:rPr>
          <w:rFonts w:ascii="Times New Roman" w:cs="Times New Roman" w:eastAsia="Times New Roman" w:hAnsi="Times New Roman"/>
          <w:sz w:val="14"/>
          <w:szCs w:val="14"/>
          <w:color w:val="auto"/>
        </w:rPr>
        <w:t xml:space="preserve">Section 5.15 </w:t>
      </w:r>
      <w:r>
        <w:rPr>
          <w:rFonts w:ascii="Times New Roman" w:cs="Times New Roman" w:eastAsia="Times New Roman" w:hAnsi="Times New Roman"/>
          <w:sz w:val="14"/>
          <w:szCs w:val="14"/>
          <w:b w:val="1"/>
          <w:bCs w:val="1"/>
          <w:u w:val="single" w:color="auto"/>
          <w:color w:val="auto"/>
        </w:rPr>
        <w:t>Compliance with Laws.</w:t>
      </w:r>
      <w:r>
        <w:rPr>
          <w:rFonts w:ascii="Times New Roman" w:cs="Times New Roman" w:eastAsia="Times New Roman" w:hAnsi="Times New Roman"/>
          <w:sz w:val="14"/>
          <w:szCs w:val="14"/>
          <w:color w:val="auto"/>
        </w:rPr>
        <w:t xml:space="preserve"> No Loan Party nor any of its Subsidiaries is in violation of any Law, rule, regulation, order, or decree of any Governmental Authority or arbitrator where such violation could, individually or in the aggregate, reasonably be expected to have a Material Adverse Effect.</w:t>
      </w:r>
    </w:p>
    <w:p>
      <w:pPr>
        <w:spacing w:after="0" w:line="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 xml:space="preserve">Section 5.16 </w:t>
      </w:r>
      <w:r>
        <w:rPr>
          <w:rFonts w:ascii="Times New Roman" w:cs="Times New Roman" w:eastAsia="Times New Roman" w:hAnsi="Times New Roman"/>
          <w:sz w:val="14"/>
          <w:szCs w:val="14"/>
          <w:b w:val="1"/>
          <w:bCs w:val="1"/>
          <w:u w:val="single" w:color="auto"/>
          <w:color w:val="auto"/>
        </w:rPr>
        <w:t>Inventory.</w:t>
      </w:r>
      <w:r>
        <w:rPr>
          <w:rFonts w:ascii="Times New Roman" w:cs="Times New Roman" w:eastAsia="Times New Roman" w:hAnsi="Times New Roman"/>
          <w:sz w:val="14"/>
          <w:szCs w:val="14"/>
          <w:color w:val="auto"/>
        </w:rPr>
        <w:t xml:space="preserve"> All Inventory of each Loan Party and its Subsidiaries has been and will hereafter be produced or maintained in compliance with all applicable Laws, rules, regulations, and governmental standards, including, without limitation, the minimum wage and overtime provisions of the Fair Labor Standards Act (29 U.S.C. §§ 201-219).</w:t>
      </w: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 xml:space="preserve">Section 5.17 </w:t>
      </w:r>
      <w:r>
        <w:rPr>
          <w:rFonts w:ascii="Times New Roman" w:cs="Times New Roman" w:eastAsia="Times New Roman" w:hAnsi="Times New Roman"/>
          <w:sz w:val="14"/>
          <w:szCs w:val="14"/>
          <w:b w:val="1"/>
          <w:bCs w:val="1"/>
          <w:u w:val="single" w:color="auto"/>
          <w:color w:val="auto"/>
        </w:rPr>
        <w:t>Regulated Entities.</w:t>
      </w:r>
      <w:r>
        <w:rPr>
          <w:rFonts w:ascii="Times New Roman" w:cs="Times New Roman" w:eastAsia="Times New Roman" w:hAnsi="Times New Roman"/>
          <w:sz w:val="14"/>
          <w:szCs w:val="14"/>
          <w:color w:val="auto"/>
        </w:rPr>
        <w:t xml:space="preserve"> No Loan Party nor any of its Subsidiaries is (a) an “</w:t>
      </w:r>
      <w:r>
        <w:rPr>
          <w:rFonts w:ascii="Times New Roman" w:cs="Times New Roman" w:eastAsia="Times New Roman" w:hAnsi="Times New Roman"/>
          <w:sz w:val="14"/>
          <w:szCs w:val="14"/>
          <w:i w:val="1"/>
          <w:iCs w:val="1"/>
          <w:color w:val="auto"/>
        </w:rPr>
        <w:t>investment company</w:t>
      </w:r>
      <w:r>
        <w:rPr>
          <w:rFonts w:ascii="Times New Roman" w:cs="Times New Roman" w:eastAsia="Times New Roman" w:hAnsi="Times New Roman"/>
          <w:sz w:val="14"/>
          <w:szCs w:val="14"/>
          <w:color w:val="auto"/>
        </w:rPr>
        <w:t>” or a company “controlled” by an “</w:t>
      </w:r>
      <w:r>
        <w:rPr>
          <w:rFonts w:ascii="Times New Roman" w:cs="Times New Roman" w:eastAsia="Times New Roman" w:hAnsi="Times New Roman"/>
          <w:sz w:val="14"/>
          <w:szCs w:val="14"/>
          <w:i w:val="1"/>
          <w:iCs w:val="1"/>
          <w:color w:val="auto"/>
        </w:rPr>
        <w:t>investment company</w:t>
      </w:r>
      <w:r>
        <w:rPr>
          <w:rFonts w:ascii="Times New Roman" w:cs="Times New Roman" w:eastAsia="Times New Roman" w:hAnsi="Times New Roman"/>
          <w:sz w:val="14"/>
          <w:szCs w:val="14"/>
          <w:color w:val="auto"/>
        </w:rPr>
        <w:t>” within the meaning of the Investment Company Act of 1940 or (b) subject to regulation under any other federal or state statute, rule or regulation limiting its ability to incur Debt, pledge its assets or perform its obligations under the Loan Documents. No Loan Party is an Affected Financial Institution.</w:t>
      </w:r>
    </w:p>
    <w:p>
      <w:pPr>
        <w:spacing w:after="0" w:line="1"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5.18</w:t>
      </w:r>
      <w:r>
        <w:rPr>
          <w:sz w:val="20"/>
          <w:szCs w:val="20"/>
          <w:color w:val="auto"/>
        </w:rPr>
        <w:tab/>
      </w:r>
      <w:r>
        <w:rPr>
          <w:rFonts w:ascii="Times New Roman" w:cs="Times New Roman" w:eastAsia="Times New Roman" w:hAnsi="Times New Roman"/>
          <w:sz w:val="14"/>
          <w:szCs w:val="14"/>
          <w:b w:val="1"/>
          <w:bCs w:val="1"/>
          <w:u w:val="single" w:color="auto"/>
          <w:color w:val="auto"/>
        </w:rPr>
        <w:t>Environmental Matters.</w:t>
      </w:r>
    </w:p>
    <w:p>
      <w:pPr>
        <w:spacing w:after="0" w:line="39" w:lineRule="exact"/>
        <w:rPr>
          <w:sz w:val="20"/>
          <w:szCs w:val="20"/>
          <w:color w:val="auto"/>
        </w:rPr>
      </w:pPr>
    </w:p>
    <w:p>
      <w:pPr>
        <w:jc w:val="both"/>
        <w:ind w:left="420" w:firstLine="436"/>
        <w:spacing w:after="0" w:line="255" w:lineRule="auto"/>
        <w:tabs>
          <w:tab w:leader="none" w:pos="1203"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actual knowledge of the Loan Parties, each Loan Party and its Subsidiaries, and all of their respective Properties, assets, and operations, are in compliance with all Environmental Laws. No Loan Party is aware of, nor has any Loan Party received notice of, any past, present, or future conditions, events, activities, practices, or incidents which may interfere with or prevent the compliance or continued compliance of each Loan Party and its Subsidiaries with all Environmental 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1300"/>
          </w:cols>
          <w:pgMar w:left="300" w:top="287" w:right="29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ind w:left="420" w:firstLine="436"/>
        <w:spacing w:after="0" w:line="268" w:lineRule="auto"/>
        <w:tabs>
          <w:tab w:leader="none" w:pos="1184"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Loan Party and its Subsidiaries has obtained all permits, licenses, and authorizations that are required under applicable Environmental Laws, and all such permits are in good standing and each Loan Party and its Subsidiaries are in compliance with all of the terms and conditions of such permits;</w:t>
      </w:r>
    </w:p>
    <w:p>
      <w:pPr>
        <w:jc w:val="both"/>
        <w:ind w:left="420" w:firstLine="436"/>
        <w:spacing w:after="0" w:line="248" w:lineRule="auto"/>
        <w:tabs>
          <w:tab w:leader="none" w:pos="1171"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actual knowledge of the Loan Parties, no Hazardous Materials exist on, about, or within, or have been used, generated, stored, transported, disposed of on, or Released from, any of the Properties or assets of any Loan Party or any of its Subsidiaries in violation of, or in a manner or to a location that could give rise to liability under, any applicable Environmental Laws. The use which each Loan Party and its Subsidiaries make and intend to make of their respective Properties and assets will not result in the use, generation, storage, transportation, accumulation, disposal, or Release of any Hazardous Material on, in, or from any of their Properties or assets in violation of, or in a manner that could give rise to liability under, any applicable Environmental Laws;</w:t>
      </w:r>
    </w:p>
    <w:p>
      <w:pPr>
        <w:spacing w:after="0" w:line="5" w:lineRule="exact"/>
        <w:rPr>
          <w:rFonts w:ascii="Times New Roman" w:cs="Times New Roman" w:eastAsia="Times New Roman" w:hAnsi="Times New Roman"/>
          <w:sz w:val="14"/>
          <w:szCs w:val="14"/>
          <w:color w:val="auto"/>
        </w:rPr>
      </w:pPr>
    </w:p>
    <w:p>
      <w:pPr>
        <w:jc w:val="both"/>
        <w:ind w:left="420" w:firstLine="436"/>
        <w:spacing w:after="0" w:line="259" w:lineRule="auto"/>
        <w:tabs>
          <w:tab w:leader="none" w:pos="120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Loan Party or any of its Subsidiaries nor any of their respective currently or previously owned or leased Properties or operations is subject to any outstanding or, to the actual knowledge of the Loan Parties, threatened order from or agreement with any Governmental Authority or other Person or subject to any judicial or docketed administrative proceeding with respect to (i) any failure to comply with Environmental Laws, (ii) any Remedial Action, or (iii) any Environmental Liabilities arising from a Release or threatened Release;</w:t>
      </w:r>
    </w:p>
    <w:p>
      <w:pPr>
        <w:ind w:left="420" w:firstLine="436"/>
        <w:spacing w:after="0" w:line="268" w:lineRule="auto"/>
        <w:tabs>
          <w:tab w:leader="none" w:pos="1177"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actual knowledge of the Loan Parties, there are no conditions or circumstances associated with the currently or previously owned or leased Properties or operations of any Loan Party or any of its Subsidiaries that could reasonably be expected to give rise to any Environmental Liabilities;</w:t>
      </w:r>
    </w:p>
    <w:p>
      <w:pPr>
        <w:jc w:val="both"/>
        <w:ind w:left="420" w:firstLine="436"/>
        <w:spacing w:after="0" w:line="259" w:lineRule="auto"/>
        <w:tabs>
          <w:tab w:leader="none" w:pos="114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Loan Party nor any of its Subsidiaries is a treatment, storage, or disposal facility requiring a permit under the Resource Conservation and Recovery Act, 42 U.S.C. § 6901 et seq., regulations thereunder or any comparable provision of state Law. Each Loan Party and its Subsidiaries are in compliance with all applicable financial responsibility requirements of all Environmental Laws;</w:t>
      </w:r>
    </w:p>
    <w:p>
      <w:pPr>
        <w:ind w:left="1160" w:hanging="304"/>
        <w:spacing w:after="0"/>
        <w:tabs>
          <w:tab w:leader="none" w:pos="116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Loan Party nor any of its Subsidiaries has filed or failed to file any notice required under applicable Environmental Law reporting a Release; and</w:t>
      </w:r>
    </w:p>
    <w:p>
      <w:pPr>
        <w:spacing w:after="0" w:line="37"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Lien arising under any Environmental Law has attached to any Property or revenues of any Loan Party or any of its Subsidiaries.</w:t>
      </w:r>
    </w:p>
    <w:p>
      <w:pPr>
        <w:spacing w:after="0" w:line="27"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4"/>
          <w:szCs w:val="14"/>
          <w:color w:val="auto"/>
        </w:rPr>
        <w:t xml:space="preserve">Section 5.19 </w:t>
      </w:r>
      <w:r>
        <w:rPr>
          <w:rFonts w:ascii="Times New Roman" w:cs="Times New Roman" w:eastAsia="Times New Roman" w:hAnsi="Times New Roman"/>
          <w:sz w:val="14"/>
          <w:szCs w:val="14"/>
          <w:b w:val="1"/>
          <w:bCs w:val="1"/>
          <w:u w:val="single" w:color="auto"/>
          <w:color w:val="auto"/>
        </w:rPr>
        <w:t>Intellectual Property.</w:t>
      </w:r>
      <w:r>
        <w:rPr>
          <w:rFonts w:ascii="Times New Roman" w:cs="Times New Roman" w:eastAsia="Times New Roman" w:hAnsi="Times New Roman"/>
          <w:sz w:val="14"/>
          <w:szCs w:val="14"/>
          <w:color w:val="auto"/>
        </w:rPr>
        <w:t xml:space="preserve"> Each Loan Party and each of its Subsidiaries owns, or is licensed to use, all Intellectual Property necessary to conduct its business as currently conducted except for such Intellectual Property the failure of which to own or license could not, individually or in the aggregate, reasonably be expected to have a Material Adverse Effect.</w:t>
      </w:r>
    </w:p>
    <w:p>
      <w:pPr>
        <w:spacing w:after="0" w:line="1"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5.20</w:t>
      </w:r>
      <w:r>
        <w:rPr>
          <w:sz w:val="20"/>
          <w:szCs w:val="20"/>
          <w:color w:val="auto"/>
        </w:rPr>
        <w:tab/>
      </w:r>
      <w:r>
        <w:rPr>
          <w:rFonts w:ascii="Times New Roman" w:cs="Times New Roman" w:eastAsia="Times New Roman" w:hAnsi="Times New Roman"/>
          <w:sz w:val="14"/>
          <w:szCs w:val="14"/>
          <w:b w:val="1"/>
          <w:bCs w:val="1"/>
          <w:u w:val="single" w:color="auto"/>
          <w:color w:val="auto"/>
        </w:rPr>
        <w:t>Anti-Corruption Laws; Sanctions; Etc.</w:t>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37" w:lineRule="exact"/>
        <w:rPr>
          <w:sz w:val="20"/>
          <w:szCs w:val="20"/>
          <w:color w:val="auto"/>
        </w:rPr>
      </w:pPr>
    </w:p>
    <w:p>
      <w:pPr>
        <w:jc w:val="both"/>
        <w:ind w:left="860" w:hanging="4"/>
        <w:spacing w:after="0" w:line="259" w:lineRule="auto"/>
        <w:tabs>
          <w:tab w:leader="none" w:pos="1177"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Loan Party, Subsidiary, Affiliate of any Loan Party or, to the knowledge of any Loan Party, any director, officer, employee, agent, or Affiliate of a Loan Party or any of its Subsidiaries is an individual or entity (“</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that is, or is owned or Controlled by any person that: (i) is a Sanctioned Person or is currently the subject or target of any Sanctions, or (ii) is located, organized or resident, or has assets, in a Sanctioned Country.</w:t>
      </w:r>
    </w:p>
    <w:p>
      <w:pPr>
        <w:jc w:val="both"/>
        <w:ind w:left="860" w:hanging="4"/>
        <w:spacing w:after="0" w:line="261" w:lineRule="auto"/>
        <w:tabs>
          <w:tab w:leader="none" w:pos="1195"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Parties, their Subsidiaries and their respective directors, officers and employees and, to the knowledge of the Loan Parties, the agents of the Loan Parties and their Subsidiaries, are in compliance with all applicable Sanctions and with the FCPA and any other applicable Anti-Corruption Law, in all material respects. Each Loan Party and its Subsidiaries have instituted and maintain policies and procedures designed to promote and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1300"/>
          </w:cols>
          <w:pgMar w:left="300" w:top="287" w:right="29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achieve continued compliance with applicable Sanctions, the FCPA and any other applicable Anti-Corruption Laws.</w:t>
      </w:r>
    </w:p>
    <w:p>
      <w:pPr>
        <w:spacing w:after="0" w:line="35"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 xml:space="preserve">Section 5.21 </w:t>
      </w:r>
      <w:r>
        <w:rPr>
          <w:rFonts w:ascii="Times New Roman" w:cs="Times New Roman" w:eastAsia="Times New Roman" w:hAnsi="Times New Roman"/>
          <w:sz w:val="14"/>
          <w:szCs w:val="14"/>
          <w:b w:val="1"/>
          <w:bCs w:val="1"/>
          <w:u w:val="single" w:color="auto"/>
          <w:color w:val="auto"/>
        </w:rPr>
        <w:t>Patriot Act.</w:t>
      </w:r>
      <w:r>
        <w:rPr>
          <w:rFonts w:ascii="Times New Roman" w:cs="Times New Roman" w:eastAsia="Times New Roman" w:hAnsi="Times New Roman"/>
          <w:sz w:val="14"/>
          <w:szCs w:val="14"/>
          <w:color w:val="auto"/>
        </w:rPr>
        <w:t xml:space="preserve"> The Loan Parties, each of their Subsidiaries, and each of their Affiliates are in compliance with (a) the Trading with the Enemy Act, and each of the foreign assets control regulations of the United States Treasury Department (31 CFR, Subtitle B Chapter V, as amended), and all other enabling legislation or executive order relating thereto, (b) the Patriot Act, and (c) all other federal or state Laws relating to “know your customer” (collectively, the “</w:t>
      </w:r>
      <w:r>
        <w:rPr>
          <w:rFonts w:ascii="Times New Roman" w:cs="Times New Roman" w:eastAsia="Times New Roman" w:hAnsi="Times New Roman"/>
          <w:sz w:val="14"/>
          <w:szCs w:val="14"/>
          <w:b w:val="1"/>
          <w:bCs w:val="1"/>
          <w:i w:val="1"/>
          <w:iCs w:val="1"/>
          <w:color w:val="auto"/>
        </w:rPr>
        <w:t>Anti-Terrorism Laws</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4"/>
          <w:szCs w:val="14"/>
          <w:color w:val="auto"/>
        </w:rPr>
        <w:t xml:space="preserve">Section 5.22 </w:t>
      </w:r>
      <w:r>
        <w:rPr>
          <w:rFonts w:ascii="Times New Roman" w:cs="Times New Roman" w:eastAsia="Times New Roman" w:hAnsi="Times New Roman"/>
          <w:sz w:val="14"/>
          <w:szCs w:val="14"/>
          <w:b w:val="1"/>
          <w:bCs w:val="1"/>
          <w:u w:val="single" w:color="auto"/>
          <w:color w:val="auto"/>
        </w:rPr>
        <w:t>Insurance.</w:t>
      </w:r>
      <w:r>
        <w:rPr>
          <w:rFonts w:ascii="Times New Roman" w:cs="Times New Roman" w:eastAsia="Times New Roman" w:hAnsi="Times New Roman"/>
          <w:sz w:val="14"/>
          <w:szCs w:val="14"/>
          <w:color w:val="auto"/>
        </w:rPr>
        <w:t xml:space="preserve"> The Properties of each Loan Party and its Subsidiaries are insured with, to the actual knowledge of the Loan Parties, financially sound and reputable insurance companies, in such amounts, with such deductibles and covering such risks as are customarily carried by companies engaged in similar businesses and owning similar Properties in localities where such Loan Party or the applicable Subsidiary operates. Any Properties of each Loan Party and its Subsidiaries that are located at a customer job location shall be insured by the applicable customer in the ordinary course of such Loan Party or Subsidiary’s business.</w:t>
      </w:r>
    </w:p>
    <w:p>
      <w:pPr>
        <w:spacing w:after="0" w:line="2"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 xml:space="preserve">Section 5.23 </w:t>
      </w:r>
      <w:r>
        <w:rPr>
          <w:rFonts w:ascii="Times New Roman" w:cs="Times New Roman" w:eastAsia="Times New Roman" w:hAnsi="Times New Roman"/>
          <w:sz w:val="14"/>
          <w:szCs w:val="14"/>
          <w:b w:val="1"/>
          <w:bCs w:val="1"/>
          <w:u w:val="single" w:color="auto"/>
          <w:color w:val="auto"/>
        </w:rPr>
        <w:t>Solvency.</w:t>
      </w:r>
      <w:r>
        <w:rPr>
          <w:rFonts w:ascii="Times New Roman" w:cs="Times New Roman" w:eastAsia="Times New Roman" w:hAnsi="Times New Roman"/>
          <w:sz w:val="14"/>
          <w:szCs w:val="14"/>
          <w:color w:val="auto"/>
        </w:rPr>
        <w:t xml:space="preserve"> After giving effect to the transactions contemplated hereby (including each Credit Extension hereunder), (a) the aggregate assets (after giving effect to amounts that could reasonably be received by reason of indemnity, offset, insurance or any similar arrangement), at a fair valuation, of the Loan Parties, taken as a whole, will exceed the aggregate liabilities of the Loan Parties on a consolidated basis, as their liabilities become absolute and mature, (b) each of the Loan Parties will not have incurred or intended to incur, and will not believe that it will incur, liabilities beyond its ability to pay such liabilities (after taking into account the timing and amounts of cash to be received by each of the Loan Parties and the amounts to be payable on or in respect of its liabilities, and giving effect to amounts that could reasonably be received by reason of indemnity, offset, insurance or any similar arrangement) as such liabilities become absolute and mature, and (c) each of the Loan Parties will not have (and will have no reason to believe that it will have thereafter) unreasonably small capital for the conduct of its business.</w:t>
      </w:r>
    </w:p>
    <w:p>
      <w:pPr>
        <w:spacing w:after="0" w:line="16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5.24 </w:t>
      </w:r>
      <w:r>
        <w:rPr>
          <w:rFonts w:ascii="Times New Roman" w:cs="Times New Roman" w:eastAsia="Times New Roman" w:hAnsi="Times New Roman"/>
          <w:sz w:val="14"/>
          <w:szCs w:val="14"/>
          <w:b w:val="1"/>
          <w:bCs w:val="1"/>
          <w:u w:val="single" w:color="auto"/>
          <w:color w:val="auto"/>
        </w:rPr>
        <w:t>Security Documents.</w:t>
      </w:r>
      <w:r>
        <w:rPr>
          <w:rFonts w:ascii="Times New Roman" w:cs="Times New Roman" w:eastAsia="Times New Roman" w:hAnsi="Times New Roman"/>
          <w:sz w:val="14"/>
          <w:szCs w:val="14"/>
          <w:color w:val="auto"/>
        </w:rPr>
        <w:t xml:space="preserve"> The provisions of the Security Documents are effective to create in favor of Administrative Agent for the benefit of the Secured Parties a legal, valid and enforceable Lien (subject to Permitted Liens) on all right, title and interest of the respective Loan Parties party thereto in the Collateral. Except for filings completed prior to the Closing Date and as contemplated hereby and by the Security Documents, no filing or other action will be necessary to perfect such Liens in Collateral.</w:t>
      </w:r>
    </w:p>
    <w:p>
      <w:pPr>
        <w:spacing w:after="0" w:line="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4"/>
          <w:szCs w:val="14"/>
          <w:color w:val="auto"/>
        </w:rPr>
        <w:t xml:space="preserve">Section 5.25 </w:t>
      </w:r>
      <w:r>
        <w:rPr>
          <w:rFonts w:ascii="Times New Roman" w:cs="Times New Roman" w:eastAsia="Times New Roman" w:hAnsi="Times New Roman"/>
          <w:sz w:val="14"/>
          <w:szCs w:val="14"/>
          <w:b w:val="1"/>
          <w:bCs w:val="1"/>
          <w:u w:val="single" w:color="auto"/>
          <w:color w:val="auto"/>
        </w:rPr>
        <w:t>Labor Matters.</w:t>
      </w:r>
      <w:r>
        <w:rPr>
          <w:rFonts w:ascii="Times New Roman" w:cs="Times New Roman" w:eastAsia="Times New Roman" w:hAnsi="Times New Roman"/>
          <w:sz w:val="14"/>
          <w:szCs w:val="14"/>
          <w:color w:val="auto"/>
        </w:rPr>
        <w:t xml:space="preserve"> There are no labor controversies pending, or to the best knowledge of any Loan Party, threatened against any Loan Party or any of its Subsidiaries which could reasonably be expected to have a Material Adverse Effect.</w:t>
      </w:r>
    </w:p>
    <w:p>
      <w:pPr>
        <w:spacing w:after="0" w:line="1"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4"/>
          <w:szCs w:val="14"/>
          <w:color w:val="auto"/>
        </w:rPr>
        <w:t xml:space="preserve">Section 5.26 </w:t>
      </w:r>
      <w:r>
        <w:rPr>
          <w:rFonts w:ascii="Times New Roman" w:cs="Times New Roman" w:eastAsia="Times New Roman" w:hAnsi="Times New Roman"/>
          <w:sz w:val="14"/>
          <w:szCs w:val="14"/>
          <w:b w:val="1"/>
          <w:bCs w:val="1"/>
          <w:u w:val="single" w:color="auto"/>
          <w:color w:val="auto"/>
        </w:rPr>
        <w:t>Material Agreements.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Schedule 5.26</w:t>
      </w:r>
      <w:r>
        <w:rPr>
          <w:rFonts w:ascii="Times New Roman" w:cs="Times New Roman" w:eastAsia="Times New Roman" w:hAnsi="Times New Roman"/>
          <w:sz w:val="14"/>
          <w:szCs w:val="14"/>
          <w:color w:val="auto"/>
        </w:rPr>
        <w:t xml:space="preserve"> sets forth a complete and correct list of all agreements in effect or to be in effect on the Closing Date and on the date of each update thereof required hereunder, to the extent that a default, breach, termination or other impairment thereof could reasonably be expected to have a Material Adverse Effect.</w:t>
      </w:r>
    </w:p>
    <w:p>
      <w:pPr>
        <w:spacing w:after="0" w:line="1"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 xml:space="preserve">Section 5.27 </w:t>
      </w:r>
      <w:r>
        <w:rPr>
          <w:rFonts w:ascii="Times New Roman" w:cs="Times New Roman" w:eastAsia="Times New Roman" w:hAnsi="Times New Roman"/>
          <w:sz w:val="14"/>
          <w:szCs w:val="14"/>
          <w:b w:val="1"/>
          <w:bCs w:val="1"/>
          <w:u w:val="single" w:color="auto"/>
          <w:color w:val="auto"/>
        </w:rPr>
        <w:t>Additional Representations of Guarantors.</w:t>
      </w:r>
      <w:r>
        <w:rPr>
          <w:rFonts w:ascii="Times New Roman" w:cs="Times New Roman" w:eastAsia="Times New Roman" w:hAnsi="Times New Roman"/>
          <w:sz w:val="14"/>
          <w:szCs w:val="14"/>
          <w:color w:val="auto"/>
        </w:rPr>
        <w:t xml:space="preserve"> Each Guarantor (a) has received, or will receive, direct or indirect benefit from the making of the Guaranty and the Obligations, and (b) is familiar with, and has independently reviewed the books and records regarding, the financial condition of Borrowers and is familiar with the value of any and all Collateral intended to be created as security for the payment of the Obligations, but such Guarantor is not relying on such financial condition, such Collateral, or the agreement of any other party as an inducement to enter into this Agreement and provide the Guaranty. Each Guarantor confirms that neither Administrative Agent, any Lender, any other Guarantor, nor any other party has made any representation, warranty or statement to such Guarantor in order to induce such Guarantor to execute this Agreement and provide the Guaranty.</w:t>
      </w:r>
    </w:p>
    <w:p>
      <w:pPr>
        <w:spacing w:after="0" w:line="3"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5.29</w:t>
      </w:r>
      <w:r>
        <w:rPr>
          <w:sz w:val="20"/>
          <w:szCs w:val="20"/>
          <w:color w:val="auto"/>
        </w:rPr>
        <w:tab/>
      </w:r>
      <w:r>
        <w:rPr>
          <w:rFonts w:ascii="Times New Roman" w:cs="Times New Roman" w:eastAsia="Times New Roman" w:hAnsi="Times New Roman"/>
          <w:sz w:val="14"/>
          <w:szCs w:val="14"/>
          <w:b w:val="1"/>
          <w:bCs w:val="1"/>
          <w:u w:val="single" w:color="auto"/>
          <w:color w:val="auto"/>
        </w:rPr>
        <w:t xml:space="preserve">Qualified ECP Guarantor. </w:t>
      </w:r>
      <w:r>
        <w:rPr>
          <w:rFonts w:ascii="Times New Roman" w:cs="Times New Roman" w:eastAsia="Times New Roman" w:hAnsi="Times New Roman"/>
          <w:sz w:val="14"/>
          <w:szCs w:val="14"/>
          <w:color w:val="auto"/>
        </w:rPr>
        <w:t>Holdings is a Qualified ECP Guarantor.</w:t>
      </w:r>
    </w:p>
    <w:p>
      <w:pPr>
        <w:spacing w:after="0" w:line="36" w:lineRule="exact"/>
        <w:rPr>
          <w:sz w:val="20"/>
          <w:szCs w:val="20"/>
          <w:color w:val="auto"/>
        </w:rPr>
      </w:pPr>
    </w:p>
    <w:p>
      <w:pPr>
        <w:jc w:val="both"/>
        <w:ind w:firstLine="432"/>
        <w:spacing w:after="0" w:line="285" w:lineRule="auto"/>
        <w:rPr>
          <w:sz w:val="20"/>
          <w:szCs w:val="20"/>
          <w:color w:val="auto"/>
        </w:rPr>
      </w:pPr>
      <w:r>
        <w:rPr>
          <w:rFonts w:ascii="Times New Roman" w:cs="Times New Roman" w:eastAsia="Times New Roman" w:hAnsi="Times New Roman"/>
          <w:sz w:val="14"/>
          <w:szCs w:val="14"/>
          <w:color w:val="auto"/>
        </w:rPr>
        <w:t xml:space="preserve">Section 5.29 </w:t>
      </w:r>
      <w:r>
        <w:rPr>
          <w:rFonts w:ascii="Times New Roman" w:cs="Times New Roman" w:eastAsia="Times New Roman" w:hAnsi="Times New Roman"/>
          <w:sz w:val="14"/>
          <w:szCs w:val="14"/>
          <w:b w:val="1"/>
          <w:bCs w:val="1"/>
          <w:u w:val="single" w:color="auto"/>
          <w:color w:val="auto"/>
        </w:rPr>
        <w:t>Plan Assets; Prohibited Transactions.</w:t>
      </w:r>
      <w:r>
        <w:rPr>
          <w:rFonts w:ascii="Times New Roman" w:cs="Times New Roman" w:eastAsia="Times New Roman" w:hAnsi="Times New Roman"/>
          <w:sz w:val="14"/>
          <w:szCs w:val="14"/>
          <w:color w:val="auto"/>
        </w:rPr>
        <w:t xml:space="preserve"> No Loan Party or any of its Subsidiaries is an entity deemed to hold “plan assets” (within the meaning of the Plan Asset Regulations), and neither the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1300"/>
          </w:cols>
          <w:pgMar w:left="300" w:top="287" w:right="29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 xml:space="preserve">Section 5.30 </w:t>
      </w:r>
      <w:r>
        <w:rPr>
          <w:rFonts w:ascii="Times New Roman" w:cs="Times New Roman" w:eastAsia="Times New Roman" w:hAnsi="Times New Roman"/>
          <w:sz w:val="14"/>
          <w:szCs w:val="14"/>
          <w:b w:val="1"/>
          <w:bCs w:val="1"/>
          <w:u w:val="single" w:color="auto"/>
          <w:color w:val="auto"/>
        </w:rPr>
        <w:t>Outbound Investment Rules.</w:t>
      </w:r>
      <w:r>
        <w:rPr>
          <w:rFonts w:ascii="Times New Roman" w:cs="Times New Roman" w:eastAsia="Times New Roman" w:hAnsi="Times New Roman"/>
          <w:sz w:val="14"/>
          <w:szCs w:val="14"/>
          <w:color w:val="auto"/>
        </w:rPr>
        <w:t xml:space="preserve"> No Loan Party nor any of its Subsidiaries is a “covered foreign person” as that term is used in the Outbound Investment Rules. No Loan Party nor any of its Subsidiaries currently engages, or has any present intention to engage in the future,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such Loan Party or Subsidiary were a U.S. Person or (c) any other activity that would cause Administrative Agent or any Lender to be in violation of the Outbound Investment Rules or cause Administrative Agent or any Lender to be legally prohibited by the Outbound Investment Rules from performing under this Agreement or any other Loan Document.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AFFIRMATIVE COVENANTS</w:t>
      </w:r>
    </w:p>
    <w:p>
      <w:pPr>
        <w:spacing w:after="0" w:line="23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4"/>
          <w:szCs w:val="14"/>
          <w:color w:val="auto"/>
        </w:rPr>
        <w:t>Each Loan Party covenants and agrees that, as long as the Obligations or any part thereof are outstanding or any Letter of Credit is outstanding or any Lender has any Commitment hereunder:</w:t>
      </w:r>
    </w:p>
    <w:p>
      <w:pPr>
        <w:spacing w:after="0" w:line="183"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6.1</w:t>
      </w:r>
      <w:r>
        <w:rPr>
          <w:sz w:val="20"/>
          <w:szCs w:val="20"/>
          <w:color w:val="auto"/>
        </w:rPr>
        <w:tab/>
      </w:r>
      <w:r>
        <w:rPr>
          <w:rFonts w:ascii="Times New Roman" w:cs="Times New Roman" w:eastAsia="Times New Roman" w:hAnsi="Times New Roman"/>
          <w:sz w:val="14"/>
          <w:szCs w:val="14"/>
          <w:b w:val="1"/>
          <w:bCs w:val="1"/>
          <w:u w:val="single" w:color="auto"/>
          <w:color w:val="auto"/>
        </w:rPr>
        <w:t xml:space="preserve">Reporting Requirements. </w:t>
      </w:r>
      <w:r>
        <w:rPr>
          <w:rFonts w:ascii="Times New Roman" w:cs="Times New Roman" w:eastAsia="Times New Roman" w:hAnsi="Times New Roman"/>
          <w:sz w:val="14"/>
          <w:szCs w:val="14"/>
          <w:color w:val="auto"/>
        </w:rPr>
        <w:t>Borrowers will furnish, or cause to be furnished, to Administrative Agent (with copies for each Lender upon Administrative Agent’s request):</w:t>
      </w:r>
    </w:p>
    <w:p>
      <w:pPr>
        <w:spacing w:after="0" w:line="37" w:lineRule="exact"/>
        <w:rPr>
          <w:sz w:val="20"/>
          <w:szCs w:val="20"/>
          <w:color w:val="auto"/>
        </w:rPr>
      </w:pPr>
    </w:p>
    <w:p>
      <w:pPr>
        <w:jc w:val="both"/>
        <w:ind w:left="420" w:firstLine="436"/>
        <w:spacing w:after="0" w:line="246" w:lineRule="auto"/>
        <w:tabs>
          <w:tab w:leader="none" w:pos="1162" w:val="left"/>
        </w:tabs>
        <w:numPr>
          <w:ilvl w:val="0"/>
          <w:numId w:val="1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Annual Financial Statements</w:t>
      </w:r>
      <w:r>
        <w:rPr>
          <w:rFonts w:ascii="Times New Roman" w:cs="Times New Roman" w:eastAsia="Times New Roman" w:hAnsi="Times New Roman"/>
          <w:sz w:val="14"/>
          <w:szCs w:val="14"/>
          <w:color w:val="auto"/>
        </w:rPr>
        <w:t>. As soon as available, and in any event within one hundred twenty (120) days after the last day of each fiscal year of Holdings (or, if earlier,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date on which such financial statements are required to be filed with the SEC after giving effect to any permitted extensions pursuant to Rule 12b-25 under the Exchange Act)), beginning with the fiscal year ended December 31, 2022, a copy of the annual audit report of Holdings and its Subsidiaries for such fiscal year containing, on a consolidated basis, balance sheets and statements of income, retained earnings, and cash flow as of the end of such fiscal year and for the twelve (12)-month period then ended, in each case setting forth in comparative form the figures for the preceding fiscal year, all in reasonable detail and audited and certified by Ham, Langston &amp; Brezina, LLP or any other independent certified public accountants of recognized standing acceptable to Administrative Agent, to the effect that such report has been prepared in accordance with GAAP, consistent with the audited financial statements for the 2021 fiscal year delivered to Administrative Agent and containing no material qualifications or limitations on scope;</w:t>
      </w:r>
    </w:p>
    <w:p>
      <w:pPr>
        <w:spacing w:after="0" w:line="5" w:lineRule="exact"/>
        <w:rPr>
          <w:rFonts w:ascii="Times New Roman" w:cs="Times New Roman" w:eastAsia="Times New Roman" w:hAnsi="Times New Roman"/>
          <w:sz w:val="14"/>
          <w:szCs w:val="14"/>
          <w:b w:val="1"/>
          <w:bCs w:val="1"/>
          <w:color w:val="auto"/>
        </w:rPr>
      </w:pPr>
    </w:p>
    <w:p>
      <w:pPr>
        <w:jc w:val="both"/>
        <w:ind w:left="420" w:firstLine="436"/>
        <w:spacing w:after="0" w:line="248" w:lineRule="auto"/>
        <w:tabs>
          <w:tab w:leader="none" w:pos="1184" w:val="left"/>
        </w:tabs>
        <w:numPr>
          <w:ilvl w:val="0"/>
          <w:numId w:val="1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Quarterly Financial Statements</w:t>
      </w:r>
      <w:r>
        <w:rPr>
          <w:rFonts w:ascii="Times New Roman" w:cs="Times New Roman" w:eastAsia="Times New Roman" w:hAnsi="Times New Roman"/>
          <w:sz w:val="14"/>
          <w:szCs w:val="14"/>
          <w:color w:val="auto"/>
        </w:rPr>
        <w:t>. As soon as available, and in any event within forty-five (45) days (or, if earlier, on the date on which such financial statements are required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be filed with the SEC after giving effect to any permitted extensions pursuant to Rule 12b-25 under the Exchange Act)) after the last day of each fiscal quarter, beginning with the fiscal quarter ended March 31, 2023, a copy of an unaudited financial report of Holdings and its Subsidiaries as of the end of such fiscal quarter and for the portion of the fiscal year then ended, containing, on a consolidated (and consolidating, if requested by Administrative Agent) basis, respectively, balance sheets and statements of income, retained earnings, and cash flow, in each case setting forth in comparative form and figures for the corresponding period of the preceding fiscal year, all in reasonable detail certified by a Responsible Officer of Holdings to have been prepared in accordance with GAAP and to fairly and accurately present (subject to year-end audit adjustments) the financial condition and results of operations of Holdings and its Subsidiaries, on a consolidated (and consolidating, if requested by Administrative Agent) basis, as of the dates and for the periods indicated therein;</w:t>
      </w:r>
    </w:p>
    <w:p>
      <w:pPr>
        <w:spacing w:after="0" w:line="5" w:lineRule="exact"/>
        <w:rPr>
          <w:rFonts w:ascii="Times New Roman" w:cs="Times New Roman" w:eastAsia="Times New Roman" w:hAnsi="Times New Roman"/>
          <w:sz w:val="14"/>
          <w:szCs w:val="14"/>
          <w:b w:val="1"/>
          <w:bCs w:val="1"/>
          <w:color w:val="auto"/>
        </w:rPr>
      </w:pPr>
    </w:p>
    <w:p>
      <w:pPr>
        <w:ind w:left="1160" w:hanging="304"/>
        <w:spacing w:after="0"/>
        <w:tabs>
          <w:tab w:leader="none" w:pos="1160" w:val="left"/>
        </w:tabs>
        <w:numPr>
          <w:ilvl w:val="0"/>
          <w:numId w:val="1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Borrowing Base Report. </w:t>
      </w:r>
      <w:r>
        <w:rPr>
          <w:rFonts w:ascii="Times New Roman" w:cs="Times New Roman" w:eastAsia="Times New Roman" w:hAnsi="Times New Roman"/>
          <w:sz w:val="14"/>
          <w:szCs w:val="14"/>
          <w:color w:val="auto"/>
        </w:rPr>
        <w:t>As soon as available, and in any event within twenty-five (25) days after the last day of each fiscal month, a Borrowing Base Report, calculating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1300"/>
          </w:cols>
          <w:pgMar w:left="300" w:top="287" w:right="29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 xml:space="preserve">Borrowing Base and reflecting the components of the Borrowing Base, including (i) Eligible Accounts of each of the Loan Parties as of the end of the preceding month and calculating the advance amounts based thereon, (ii) Eligible Inventory, Eligible Compressors and Eligible New Compressor Fleet of each of the Loan Parties as of the end of the preceding month and calculating the advance amounts based thereon, and (iii) such worksheets detailing the Accounts excluded from Eligible Accounts and Inventory (including Compressor Units and Compressor Components) excluded from Eligible Inventory, Eligible Compressors and Eligible New Compressor Fleet and the reason for such exclusion;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a Specified Reporting Period is in effect, a Borrowing Base Report and related documentation on or before the third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4"/>
          <w:szCs w:val="14"/>
          <w:color w:val="auto"/>
        </w:rPr>
        <w:t>) Business Day of each week, and such report shall also reflect the amount of sales and receipts of the Loan Parties during the preceding period and such other information as Administrative Agent may reasonably request;</w:t>
      </w:r>
    </w:p>
    <w:p>
      <w:pPr>
        <w:spacing w:after="0" w:line="3" w:lineRule="exact"/>
        <w:rPr>
          <w:sz w:val="20"/>
          <w:szCs w:val="20"/>
          <w:color w:val="auto"/>
        </w:rPr>
      </w:pPr>
    </w:p>
    <w:p>
      <w:pPr>
        <w:jc w:val="both"/>
        <w:ind w:firstLine="436"/>
        <w:spacing w:after="0" w:line="244" w:lineRule="auto"/>
        <w:tabs>
          <w:tab w:leader="none" w:pos="766" w:val="left"/>
        </w:tabs>
        <w:numPr>
          <w:ilvl w:val="0"/>
          <w:numId w:val="1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Compliance Certificate</w:t>
      </w:r>
      <w:r>
        <w:rPr>
          <w:rFonts w:ascii="Times New Roman" w:cs="Times New Roman" w:eastAsia="Times New Roman" w:hAnsi="Times New Roman"/>
          <w:sz w:val="14"/>
          <w:szCs w:val="14"/>
          <w:color w:val="auto"/>
        </w:rPr>
        <w:t>. Concurrently with the delivery of each of the financial statements referred to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6.1(a)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6.1(b)</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than, in the case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6.1(b)</w:t>
      </w:r>
      <w:r>
        <w:rPr>
          <w:rFonts w:ascii="Times New Roman" w:cs="Times New Roman" w:eastAsia="Times New Roman" w:hAnsi="Times New Roman"/>
          <w:sz w:val="14"/>
          <w:szCs w:val="14"/>
          <w:color w:val="auto"/>
        </w:rPr>
        <w:t>, the financial statements delivered for the fourth fiscal quarter of any fiscal year), a Compliance Certificate (i) certifying, in the case of such financial statements delivered under</w:t>
      </w:r>
      <w:r>
        <w:rPr>
          <w:rFonts w:ascii="Times New Roman" w:cs="Times New Roman" w:eastAsia="Times New Roman" w:hAnsi="Times New Roman"/>
          <w:sz w:val="14"/>
          <w:szCs w:val="14"/>
          <w:b w:val="1"/>
          <w:bCs w:val="1"/>
          <w:i w:val="1"/>
          <w:iCs w:val="1"/>
          <w:color w:val="auto"/>
        </w:rPr>
        <w:t xml:space="preserve"> Sections 6.1(a)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i w:val="1"/>
          <w:iCs w:val="1"/>
          <w:color w:val="auto"/>
        </w:rPr>
        <w:t xml:space="preserve"> 6.1(b)</w:t>
      </w:r>
      <w:r>
        <w:rPr>
          <w:rFonts w:ascii="Times New Roman" w:cs="Times New Roman" w:eastAsia="Times New Roman" w:hAnsi="Times New Roman"/>
          <w:sz w:val="14"/>
          <w:szCs w:val="14"/>
          <w:color w:val="auto"/>
        </w:rPr>
        <w:t>, as applicable, that such statements present fairly in all material respects the financial condition and results of operations of Holdings and its Subsidiaries on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consolidated basis in accordance with GAAP consistently applied, subject to normal year-end audit adjustments and the absence of footnotes, (ii) stating that to the best of the knowledge of the Responsible Officer executing same, no Default has occurred and is continuing, or if a Default has occurred and is continuing, a statement as to the nature thereof and the action which is proposed to be taken with respect thereto, (iii) showing in reasonable detail the calculations demonstrating compliance with the covenants set forth in </w:t>
      </w:r>
      <w:r>
        <w:rPr>
          <w:rFonts w:ascii="Times New Roman" w:cs="Times New Roman" w:eastAsia="Times New Roman" w:hAnsi="Times New Roman"/>
          <w:sz w:val="14"/>
          <w:szCs w:val="14"/>
          <w:b w:val="1"/>
          <w:bCs w:val="1"/>
          <w:i w:val="1"/>
          <w:iCs w:val="1"/>
          <w:color w:val="auto"/>
        </w:rPr>
        <w:t>Article 8</w:t>
      </w:r>
      <w:r>
        <w:rPr>
          <w:rFonts w:ascii="Times New Roman" w:cs="Times New Roman" w:eastAsia="Times New Roman" w:hAnsi="Times New Roman"/>
          <w:sz w:val="14"/>
          <w:szCs w:val="14"/>
          <w:color w:val="auto"/>
        </w:rPr>
        <w:t xml:space="preserve"> and calculation of the Leverage Ratio for purposes of calculating the Applicable Margin, (iv) stating whether any change in GAAP or in the application thereof has occurred since the date of the audited financial statements most recently delivered pursuant to </w:t>
      </w:r>
      <w:r>
        <w:rPr>
          <w:rFonts w:ascii="Times New Roman" w:cs="Times New Roman" w:eastAsia="Times New Roman" w:hAnsi="Times New Roman"/>
          <w:sz w:val="14"/>
          <w:szCs w:val="14"/>
          <w:b w:val="1"/>
          <w:bCs w:val="1"/>
          <w:i w:val="1"/>
          <w:iCs w:val="1"/>
          <w:color w:val="auto"/>
        </w:rPr>
        <w:t>Section 6.1(a)</w:t>
      </w:r>
      <w:r>
        <w:rPr>
          <w:rFonts w:ascii="Times New Roman" w:cs="Times New Roman" w:eastAsia="Times New Roman" w:hAnsi="Times New Roman"/>
          <w:sz w:val="14"/>
          <w:szCs w:val="14"/>
          <w:color w:val="auto"/>
        </w:rPr>
        <w:t xml:space="preserve"> above and, if any such change has occurred, specifying the effect of such change on the financial statements accompanying such certificate and (v) containing such other certifications set forth therein. For any financial statements delivered electronically by a Responsible Officer in satisfaction of the reporting requirements set forth in </w:t>
      </w:r>
      <w:r>
        <w:rPr>
          <w:rFonts w:ascii="Times New Roman" w:cs="Times New Roman" w:eastAsia="Times New Roman" w:hAnsi="Times New Roman"/>
          <w:sz w:val="14"/>
          <w:szCs w:val="14"/>
          <w:b w:val="1"/>
          <w:bCs w:val="1"/>
          <w:i w:val="1"/>
          <w:iCs w:val="1"/>
          <w:color w:val="auto"/>
        </w:rPr>
        <w:t>clause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(b)</w:t>
      </w:r>
      <w:r>
        <w:rPr>
          <w:rFonts w:ascii="Times New Roman" w:cs="Times New Roman" w:eastAsia="Times New Roman" w:hAnsi="Times New Roman"/>
          <w:sz w:val="14"/>
          <w:szCs w:val="14"/>
          <w:color w:val="auto"/>
        </w:rPr>
        <w:t xml:space="preserve"> preceding that are not accompanied by the required Compliance Certificate, that Responsible Officer shall nevertheless be deemed to have certified the factual matters described in this </w:t>
      </w:r>
      <w:r>
        <w:rPr>
          <w:rFonts w:ascii="Times New Roman" w:cs="Times New Roman" w:eastAsia="Times New Roman" w:hAnsi="Times New Roman"/>
          <w:sz w:val="14"/>
          <w:szCs w:val="14"/>
          <w:b w:val="1"/>
          <w:bCs w:val="1"/>
          <w:i w:val="1"/>
          <w:iCs w:val="1"/>
          <w:color w:val="auto"/>
        </w:rPr>
        <w:t>clause (d)</w:t>
      </w:r>
      <w:r>
        <w:rPr>
          <w:rFonts w:ascii="Times New Roman" w:cs="Times New Roman" w:eastAsia="Times New Roman" w:hAnsi="Times New Roman"/>
          <w:sz w:val="14"/>
          <w:szCs w:val="14"/>
          <w:color w:val="auto"/>
        </w:rPr>
        <w:t xml:space="preserve"> with respect to such financial statements; however, such deemed certificate shall not excuse or be construed as a waiver of Holdings’ obligation to deliver the required Compliance Certificate;</w:t>
      </w:r>
    </w:p>
    <w:p>
      <w:pPr>
        <w:spacing w:after="0" w:line="169" w:lineRule="exact"/>
        <w:rPr>
          <w:rFonts w:ascii="Times New Roman" w:cs="Times New Roman" w:eastAsia="Times New Roman" w:hAnsi="Times New Roman"/>
          <w:sz w:val="14"/>
          <w:szCs w:val="14"/>
          <w:b w:val="1"/>
          <w:bCs w:val="1"/>
          <w:color w:val="auto"/>
        </w:rPr>
      </w:pPr>
    </w:p>
    <w:p>
      <w:pPr>
        <w:jc w:val="both"/>
        <w:ind w:firstLine="436"/>
        <w:spacing w:after="0" w:line="254" w:lineRule="auto"/>
        <w:tabs>
          <w:tab w:leader="none" w:pos="736" w:val="left"/>
        </w:tabs>
        <w:numPr>
          <w:ilvl w:val="0"/>
          <w:numId w:val="1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Projections</w:t>
      </w:r>
      <w:r>
        <w:rPr>
          <w:rFonts w:ascii="Times New Roman" w:cs="Times New Roman" w:eastAsia="Times New Roman" w:hAnsi="Times New Roman"/>
          <w:sz w:val="14"/>
          <w:szCs w:val="14"/>
          <w:color w:val="auto"/>
        </w:rPr>
        <w:t>. Commencing with respect to the fiscal year ending December 31, 2023, as soon as available, but in any event not earlier than thirty (30) days before and not later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than forty-five (45) days after the end of each fiscal year of Holdings, forecasts prepared by management of Holdings, in form and substance satisfactory to Administrative Agent, of</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 xml:space="preserve">consolidated balance sheets of income or operations and cashflows of Holdings and its Subsidiaries on a monthly basis for the immediately following fiscal year; (f) </w:t>
      </w:r>
      <w:r>
        <w:rPr>
          <w:rFonts w:ascii="Times New Roman" w:cs="Times New Roman" w:eastAsia="Times New Roman" w:hAnsi="Times New Roman"/>
          <w:sz w:val="14"/>
          <w:szCs w:val="14"/>
          <w:b w:val="1"/>
          <w:bCs w:val="1"/>
          <w:color w:val="auto"/>
        </w:rPr>
        <w:t>Notice of Litigation</w:t>
      </w:r>
      <w:r>
        <w:rPr>
          <w:rFonts w:ascii="Times New Roman" w:cs="Times New Roman" w:eastAsia="Times New Roman" w:hAnsi="Times New Roman"/>
          <w:sz w:val="14"/>
          <w:szCs w:val="14"/>
          <w:color w:val="auto"/>
        </w:rPr>
        <w:t>. Promptly after the commencement thereof, notice of all actions, suits, and proceedings before any Governmental Authority or arbitrator affecting any Loan Party or any of its Subsidiaries which, if determined adversely to such Loan Party or such Subsidiary, could reasonably be expected to have a Material Adverse Effect;</w:t>
      </w:r>
    </w:p>
    <w:p>
      <w:pPr>
        <w:spacing w:after="0" w:line="3" w:lineRule="exact"/>
        <w:rPr>
          <w:sz w:val="20"/>
          <w:szCs w:val="20"/>
          <w:color w:val="auto"/>
        </w:rPr>
      </w:pPr>
    </w:p>
    <w:p>
      <w:pPr>
        <w:ind w:right="20" w:firstLine="436"/>
        <w:spacing w:after="0" w:line="268" w:lineRule="auto"/>
        <w:tabs>
          <w:tab w:leader="none" w:pos="744" w:val="left"/>
        </w:tabs>
        <w:numPr>
          <w:ilvl w:val="0"/>
          <w:numId w:val="1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Notice of Default</w:t>
      </w:r>
      <w:r>
        <w:rPr>
          <w:rFonts w:ascii="Times New Roman" w:cs="Times New Roman" w:eastAsia="Times New Roman" w:hAnsi="Times New Roman"/>
          <w:sz w:val="14"/>
          <w:szCs w:val="14"/>
          <w:color w:val="auto"/>
        </w:rPr>
        <w:t>. As soon as possible and in any event within five (5) days after any Loan Party has knowledge of the occurrence of any Default, a written notice setting forth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details of such Default and the action that the applicable Loan Party has taken and proposes to take with respect thereto;</w:t>
      </w:r>
    </w:p>
    <w:p>
      <w:pPr>
        <w:ind w:right="20" w:firstLine="436"/>
        <w:spacing w:after="0" w:line="285" w:lineRule="auto"/>
        <w:tabs>
          <w:tab w:leader="none" w:pos="759" w:val="left"/>
        </w:tabs>
        <w:numPr>
          <w:ilvl w:val="0"/>
          <w:numId w:val="1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ERISA Reports</w:t>
      </w:r>
      <w:r>
        <w:rPr>
          <w:rFonts w:ascii="Times New Roman" w:cs="Times New Roman" w:eastAsia="Times New Roman" w:hAnsi="Times New Roman"/>
          <w:sz w:val="14"/>
          <w:szCs w:val="14"/>
          <w:color w:val="auto"/>
        </w:rPr>
        <w:t>. Promptly after the filing or receipt thereof, copies of all reports, including annual reports, and notices which any Loan Party or ERISA Affiliate files with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receives from the PBGC, the IRS, or the U.S. Department of Labor under ERISA; as soon as</w:t>
      </w:r>
    </w:p>
    <w:p>
      <w:pPr>
        <w:spacing w:after="0" w:line="34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0880"/>
          </w:cols>
          <w:pgMar w:left="720" w:top="287" w:right="29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possible and in any event within five (5) days after any Loan Party or any ERISA Affiliate knows or has reason to know that any ERISA Event or Prohibited Transaction has occurred with respect to any Plan or Multiemployer Plan, a certificate of the chief financial officer or other Responsible Officer of the applicable Loan Party setting forth the details as to such ERISA Event or Prohibited Transaction and the action that the applicable Loan Party proposes to take with respect thereto; annually, a copy of the notice described in Section 101(f) of ERISA that any Loan Party or ERISA Affiliate files or receives with respect to a Plan or Multiemployer Plan;</w:t>
      </w:r>
    </w:p>
    <w:p>
      <w:pPr>
        <w:jc w:val="both"/>
        <w:ind w:firstLine="436"/>
        <w:spacing w:after="0" w:line="251" w:lineRule="auto"/>
        <w:tabs>
          <w:tab w:leader="none" w:pos="740" w:val="left"/>
        </w:tabs>
        <w:numPr>
          <w:ilvl w:val="0"/>
          <w:numId w:val="1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Updates to Security Document Schedules. </w:t>
      </w:r>
      <w:r>
        <w:rPr>
          <w:rFonts w:ascii="Times New Roman" w:cs="Times New Roman" w:eastAsia="Times New Roman" w:hAnsi="Times New Roman"/>
          <w:sz w:val="14"/>
          <w:szCs w:val="14"/>
          <w:color w:val="auto"/>
        </w:rPr>
        <w:t>Upon Administrative Agent’s written request, at the time of delivery of the Compliance Certificate delivered in connection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applicable financial statements pursuant to </w:t>
      </w:r>
      <w:r>
        <w:rPr>
          <w:rFonts w:ascii="Times New Roman" w:cs="Times New Roman" w:eastAsia="Times New Roman" w:hAnsi="Times New Roman"/>
          <w:sz w:val="14"/>
          <w:szCs w:val="14"/>
          <w:b w:val="1"/>
          <w:bCs w:val="1"/>
          <w:i w:val="1"/>
          <w:iCs w:val="1"/>
          <w:color w:val="auto"/>
        </w:rPr>
        <w:t>Sections 6.1(a)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6.1(b)</w:t>
      </w:r>
      <w:r>
        <w:rPr>
          <w:rFonts w:ascii="Times New Roman" w:cs="Times New Roman" w:eastAsia="Times New Roman" w:hAnsi="Times New Roman"/>
          <w:sz w:val="14"/>
          <w:szCs w:val="14"/>
          <w:color w:val="auto"/>
        </w:rPr>
        <w:t xml:space="preserve">, updates to all Schedules to the Security Documents to the extent that information contained in such Schedules has become inaccurate or incomplete since delivery thereof and such Schedules are required to be updated from time to time pursuant to the terms of the applicable Security Document;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the Loan Parties shall not be required to update such Schedules more than once in any twelve (12) month period absent an Event of Default that is continuing;</w:t>
      </w:r>
    </w:p>
    <w:p>
      <w:pPr>
        <w:spacing w:after="0" w:line="1" w:lineRule="exact"/>
        <w:rPr>
          <w:rFonts w:ascii="Times New Roman" w:cs="Times New Roman" w:eastAsia="Times New Roman" w:hAnsi="Times New Roman"/>
          <w:sz w:val="14"/>
          <w:szCs w:val="14"/>
          <w:b w:val="1"/>
          <w:bCs w:val="1"/>
          <w:color w:val="auto"/>
        </w:rPr>
      </w:pPr>
    </w:p>
    <w:p>
      <w:pPr>
        <w:jc w:val="both"/>
        <w:ind w:firstLine="436"/>
        <w:spacing w:after="0" w:line="259" w:lineRule="auto"/>
        <w:tabs>
          <w:tab w:leader="none" w:pos="720" w:val="left"/>
        </w:tabs>
        <w:numPr>
          <w:ilvl w:val="0"/>
          <w:numId w:val="1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Insurance. </w:t>
      </w:r>
      <w:r>
        <w:rPr>
          <w:rFonts w:ascii="Times New Roman" w:cs="Times New Roman" w:eastAsia="Times New Roman" w:hAnsi="Times New Roman"/>
          <w:sz w:val="14"/>
          <w:szCs w:val="14"/>
          <w:color w:val="auto"/>
        </w:rPr>
        <w:t>Upon Administrative Agent’s request, at the time of delivery of the Compliance Certificate delivered in connection with the annual financial statements pursuant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6.1(a)</w:t>
      </w:r>
      <w:r>
        <w:rPr>
          <w:rFonts w:ascii="Times New Roman" w:cs="Times New Roman" w:eastAsia="Times New Roman" w:hAnsi="Times New Roman"/>
          <w:sz w:val="14"/>
          <w:szCs w:val="14"/>
          <w:color w:val="auto"/>
        </w:rPr>
        <w:t>, a report summarizing the insurance coverage (specifying type, amount and carrier) in effect for each Loan Party and its Subsidiaries and containing such additional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information as Administrative Agent, or any Lender through Administrative Agent, may reasonably specify;</w:t>
      </w:r>
    </w:p>
    <w:p>
      <w:pPr>
        <w:ind w:right="20" w:firstLine="436"/>
        <w:spacing w:after="0" w:line="268" w:lineRule="auto"/>
        <w:tabs>
          <w:tab w:leader="none" w:pos="761" w:val="left"/>
        </w:tabs>
        <w:numPr>
          <w:ilvl w:val="0"/>
          <w:numId w:val="1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Notice of Material Adverse Effect</w:t>
      </w:r>
      <w:r>
        <w:rPr>
          <w:rFonts w:ascii="Times New Roman" w:cs="Times New Roman" w:eastAsia="Times New Roman" w:hAnsi="Times New Roman"/>
          <w:sz w:val="14"/>
          <w:szCs w:val="14"/>
          <w:color w:val="auto"/>
        </w:rPr>
        <w:t>. As soon as possible and in any event within five (5) days after any Loan Party has knowledge of the occurrence thereof, written notice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event or circumstance that could reasonably be expected to have a Material Adverse Effect;</w:t>
      </w:r>
    </w:p>
    <w:p>
      <w:pPr>
        <w:jc w:val="both"/>
        <w:ind w:firstLine="436"/>
        <w:spacing w:after="0" w:line="259" w:lineRule="auto"/>
        <w:tabs>
          <w:tab w:leader="none" w:pos="712" w:val="left"/>
        </w:tabs>
        <w:numPr>
          <w:ilvl w:val="0"/>
          <w:numId w:val="1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Inventory Report</w:t>
      </w:r>
      <w:r>
        <w:rPr>
          <w:rFonts w:ascii="Times New Roman" w:cs="Times New Roman" w:eastAsia="Times New Roman" w:hAnsi="Times New Roman"/>
          <w:sz w:val="14"/>
          <w:szCs w:val="14"/>
          <w:color w:val="auto"/>
        </w:rPr>
        <w:t>. As soon as available, and in any event within twenty-five (25) days (or earlier if a Specified Reporting Period is in effect) after the end of each fiscal month,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Inventory report, in form and detail as Administrative Agent shall reasonably require, certified by a Responsible Officer of the Borrower Representative, reconciling such Inventory report with the Borrowing Base Report;</w:t>
      </w:r>
    </w:p>
    <w:p>
      <w:pPr>
        <w:jc w:val="both"/>
        <w:ind w:firstLine="436"/>
        <w:spacing w:after="0" w:line="253" w:lineRule="auto"/>
        <w:tabs>
          <w:tab w:leader="none" w:pos="790" w:val="left"/>
        </w:tabs>
        <w:numPr>
          <w:ilvl w:val="0"/>
          <w:numId w:val="1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Account Agings. </w:t>
      </w:r>
      <w:r>
        <w:rPr>
          <w:rFonts w:ascii="Times New Roman" w:cs="Times New Roman" w:eastAsia="Times New Roman" w:hAnsi="Times New Roman"/>
          <w:sz w:val="14"/>
          <w:szCs w:val="14"/>
          <w:color w:val="auto"/>
        </w:rPr>
        <w:t>As soon as available and in any event within twenty-five (25) days (or earlier if a Specified Reporting Period is in effect) after the end of each fiscal month,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consolidated and consolidating agings of all accounts payable and accounts receivable of the Borrowers (the “</w:t>
      </w:r>
      <w:r>
        <w:rPr>
          <w:rFonts w:ascii="Times New Roman" w:cs="Times New Roman" w:eastAsia="Times New Roman" w:hAnsi="Times New Roman"/>
          <w:sz w:val="14"/>
          <w:szCs w:val="14"/>
          <w:b w:val="1"/>
          <w:bCs w:val="1"/>
          <w:i w:val="1"/>
          <w:iCs w:val="1"/>
          <w:color w:val="auto"/>
        </w:rPr>
        <w:t>Account Agings</w:t>
      </w:r>
      <w:r>
        <w:rPr>
          <w:rFonts w:ascii="Times New Roman" w:cs="Times New Roman" w:eastAsia="Times New Roman" w:hAnsi="Times New Roman"/>
          <w:sz w:val="14"/>
          <w:szCs w:val="14"/>
          <w:color w:val="auto"/>
        </w:rPr>
        <w:t>”) showing each such account which is current and each such account which is thirty (30), sixty (60), ninety (90), and over ninety (90) days past invoice date and, with respect to accounts receivable, reconciling such aging with the Borrowing Base Reports;</w:t>
      </w:r>
    </w:p>
    <w:p>
      <w:pPr>
        <w:spacing w:after="0" w:line="165" w:lineRule="exact"/>
        <w:rPr>
          <w:rFonts w:ascii="Times New Roman" w:cs="Times New Roman" w:eastAsia="Times New Roman" w:hAnsi="Times New Roman"/>
          <w:sz w:val="14"/>
          <w:szCs w:val="14"/>
          <w:b w:val="1"/>
          <w:bCs w:val="1"/>
          <w:color w:val="auto"/>
        </w:rPr>
      </w:pPr>
    </w:p>
    <w:p>
      <w:pPr>
        <w:ind w:right="20" w:firstLine="436"/>
        <w:spacing w:after="0" w:line="268" w:lineRule="auto"/>
        <w:tabs>
          <w:tab w:leader="none" w:pos="782" w:val="left"/>
        </w:tabs>
        <w:numPr>
          <w:ilvl w:val="0"/>
          <w:numId w:val="1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Monthly Customer Statements</w:t>
      </w:r>
      <w:r>
        <w:rPr>
          <w:rFonts w:ascii="Times New Roman" w:cs="Times New Roman" w:eastAsia="Times New Roman" w:hAnsi="Times New Roman"/>
          <w:sz w:val="14"/>
          <w:szCs w:val="14"/>
          <w:color w:val="auto"/>
        </w:rPr>
        <w:t>. If requested by Administrative Agent, as soon as available and in any event within twenty-five (25) days (or earlier to the extent available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a Specified Reporting Period is then in effect) after the end of each fiscal month, monthly customer statements of the Borrowers;</w:t>
      </w:r>
    </w:p>
    <w:p>
      <w:pPr>
        <w:jc w:val="both"/>
        <w:ind w:firstLine="436"/>
        <w:spacing w:after="0" w:line="258" w:lineRule="auto"/>
        <w:tabs>
          <w:tab w:leader="none" w:pos="744" w:val="left"/>
        </w:tabs>
        <w:numPr>
          <w:ilvl w:val="0"/>
          <w:numId w:val="1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Notice of Certain Changes</w:t>
      </w:r>
      <w:r>
        <w:rPr>
          <w:rFonts w:ascii="Times New Roman" w:cs="Times New Roman" w:eastAsia="Times New Roman" w:hAnsi="Times New Roman"/>
          <w:sz w:val="14"/>
          <w:szCs w:val="14"/>
          <w:color w:val="auto"/>
        </w:rPr>
        <w:t>. Promptly, (i) notice of any material change in the business conducted or otherwise permitted under this Agreement by any Loan Party or any of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Subsidiaries, (ii) copies of any amendment, restatement, supplement or other modification to any of the Constituent Documents of any Loan Party or any of its Subsidiaries and (iii) notice of any change in the information provided in the Beneficial Ownership Certification that would result in a change to the list of beneficial owners identified in parts (c) or (d) of such certification;</w:t>
      </w:r>
    </w:p>
    <w:p>
      <w:pPr>
        <w:spacing w:after="0" w:line="164" w:lineRule="exact"/>
        <w:rPr>
          <w:rFonts w:ascii="Times New Roman" w:cs="Times New Roman" w:eastAsia="Times New Roman" w:hAnsi="Times New Roman"/>
          <w:sz w:val="14"/>
          <w:szCs w:val="14"/>
          <w:b w:val="1"/>
          <w:bCs w:val="1"/>
          <w:color w:val="auto"/>
        </w:rPr>
      </w:pPr>
    </w:p>
    <w:p>
      <w:pPr>
        <w:ind w:right="20" w:firstLine="436"/>
        <w:spacing w:after="0" w:line="261" w:lineRule="auto"/>
        <w:tabs>
          <w:tab w:leader="none" w:pos="802" w:val="left"/>
        </w:tabs>
        <w:numPr>
          <w:ilvl w:val="0"/>
          <w:numId w:val="1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Management Letters</w:t>
      </w:r>
      <w:r>
        <w:rPr>
          <w:rFonts w:ascii="Times New Roman" w:cs="Times New Roman" w:eastAsia="Times New Roman" w:hAnsi="Times New Roman"/>
          <w:sz w:val="14"/>
          <w:szCs w:val="14"/>
          <w:color w:val="auto"/>
        </w:rPr>
        <w:t>. Promptly upon receipt thereof, a copy of any management letter or written report submitted to Holdings or any of its Subsidiaries by independent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certified public accountants with respect to the business, condition (financial or otherwise), operations, prospects, or Properties of Holdings or any of its Subsidiaries;</w:t>
      </w:r>
    </w:p>
    <w:p>
      <w:pPr>
        <w:ind w:left="780" w:hanging="344"/>
        <w:spacing w:after="0"/>
        <w:tabs>
          <w:tab w:leader="none" w:pos="780" w:val="left"/>
        </w:tabs>
        <w:numPr>
          <w:ilvl w:val="0"/>
          <w:numId w:val="1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 Information</w:t>
      </w:r>
      <w:r>
        <w:rPr>
          <w:rFonts w:ascii="Times New Roman" w:cs="Times New Roman" w:eastAsia="Times New Roman" w:hAnsi="Times New Roman"/>
          <w:sz w:val="14"/>
          <w:szCs w:val="14"/>
          <w:color w:val="auto"/>
        </w:rPr>
        <w:t>. Promptly, such other information concerning any Loan Party, any of its Subsidiaries or any of their respective Properties as Administrative Agent, or</w:t>
      </w:r>
    </w:p>
    <w:p>
      <w:pPr>
        <w:spacing w:after="0" w:line="19"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w:t>
      </w:r>
    </w:p>
    <w:p>
      <w:pPr>
        <w:spacing w:after="0" w:line="39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0880"/>
          </w:cols>
          <w:pgMar w:left="720" w:top="287" w:right="29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420"/>
        <w:spacing w:after="0" w:line="256" w:lineRule="auto"/>
        <w:rPr>
          <w:sz w:val="20"/>
          <w:szCs w:val="20"/>
          <w:color w:val="auto"/>
        </w:rPr>
      </w:pPr>
      <w:r>
        <w:rPr>
          <w:rFonts w:ascii="Times New Roman" w:cs="Times New Roman" w:eastAsia="Times New Roman" w:hAnsi="Times New Roman"/>
          <w:sz w:val="14"/>
          <w:szCs w:val="14"/>
          <w:color w:val="auto"/>
        </w:rPr>
        <w:t>Lender through Administrative Agent, may from time to time request, including, without limitation, any certification or other evidence Administrative Agent requests in order for it to (i) comply with any applicable federal or state Laws or regulations (including, but not limited to, information about the ownership and management of any Loan Party), (ii) confirm compliance by any Loan Party with all Anti-Terrorism Laws, and (iii) confirm that no Loan Party (nor any Person owning any interest of any nature whatsoever in any Loan Party) is a Sanctioned Person; and</w:t>
      </w:r>
    </w:p>
    <w:p>
      <w:pPr>
        <w:spacing w:after="0" w:line="167" w:lineRule="exact"/>
        <w:rPr>
          <w:sz w:val="20"/>
          <w:szCs w:val="20"/>
          <w:color w:val="auto"/>
        </w:rPr>
      </w:pPr>
    </w:p>
    <w:p>
      <w:pPr>
        <w:jc w:val="both"/>
        <w:ind w:left="420" w:firstLine="436"/>
        <w:spacing w:after="0" w:line="245" w:lineRule="auto"/>
        <w:tabs>
          <w:tab w:leader="none" w:pos="1213" w:val="left"/>
        </w:tabs>
        <w:numPr>
          <w:ilvl w:val="0"/>
          <w:numId w:val="1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Additional Information</w:t>
      </w:r>
      <w:r>
        <w:rPr>
          <w:rFonts w:ascii="Times New Roman" w:cs="Times New Roman" w:eastAsia="Times New Roman" w:hAnsi="Times New Roman"/>
          <w:sz w:val="14"/>
          <w:szCs w:val="14"/>
          <w:color w:val="auto"/>
        </w:rPr>
        <w:t>. If requested by Administrative Agent, (i) cash receipt journals or copies of checks, invoices for new billings, sales journals and backup for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miscellaneous credits and debits, purchases journals and cost of goods sold reports and inventory reports, which support a Borrowing Base report, (ii) a schedule detailing each Borrower’s Inventory, in form satisfactory to Administrative Agent, (A) by location (showing Inventory in transit and any Inventory located with a third party under any consignment, bailee arrangement or warehouse agreement), by product type (including Compressor Units and Compressor Components), and by volume on hand, which Inventory shall be valued at the lower of cost or market (which approximates cost) and adjusted for Availability Reserves as Administrative Agent has previously indicated to the Borrowers are deemed by Administrative Agent to be appropriate, and (B) including a report of any variances or other results of Inventory counts performed by the Borrowers since the last Inventory schedule (including information regarding sales or other reductions, additions, returns, credits issued by the Borrowers and complaints and claims made against any Borrower) and (iii) a status report regarding each gas compression agreement covering any Compressor Unit, including whether such servicing agreement has been amended, restated, modified or terminated during such period and delivering a copy of any new gas compression agreement or any amendment, modification or termination of any gas compression agreement.</w:t>
      </w:r>
    </w:p>
    <w:p>
      <w:pPr>
        <w:spacing w:after="0" w:line="8" w:lineRule="exact"/>
        <w:rPr>
          <w:sz w:val="20"/>
          <w:szCs w:val="20"/>
          <w:color w:val="auto"/>
        </w:rPr>
      </w:pPr>
    </w:p>
    <w:p>
      <w:pPr>
        <w:jc w:val="both"/>
        <w:ind w:left="420"/>
        <w:spacing w:after="0" w:line="258" w:lineRule="auto"/>
        <w:rPr>
          <w:sz w:val="20"/>
          <w:szCs w:val="20"/>
          <w:color w:val="auto"/>
        </w:rPr>
      </w:pPr>
      <w:r>
        <w:rPr>
          <w:rFonts w:ascii="Times New Roman" w:cs="Times New Roman" w:eastAsia="Times New Roman" w:hAnsi="Times New Roman"/>
          <w:sz w:val="14"/>
          <w:szCs w:val="14"/>
          <w:color w:val="auto"/>
        </w:rPr>
        <w:t>All representations and warranties set forth in the Loan Documents with respect to any financial information concerning any Loan Party shall apply to all financial information delivered to Administrative Agent by such Loan Party, or any Person purporting to be a Responsible Officer of such Loan Party or other representative of such Loan Party regardless of the method of such transmission to Administrative Agent or whether or not signed by such Loan Party, or such Responsible Officer or other representative, as applicable.</w:t>
      </w:r>
    </w:p>
    <w:p>
      <w:pPr>
        <w:spacing w:after="0" w:line="1"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4"/>
          <w:szCs w:val="14"/>
          <w:color w:val="auto"/>
        </w:rPr>
        <w:t xml:space="preserve">Section 6.2 </w:t>
      </w:r>
      <w:r>
        <w:rPr>
          <w:rFonts w:ascii="Times New Roman" w:cs="Times New Roman" w:eastAsia="Times New Roman" w:hAnsi="Times New Roman"/>
          <w:sz w:val="14"/>
          <w:szCs w:val="14"/>
          <w:b w:val="1"/>
          <w:bCs w:val="1"/>
          <w:u w:val="single" w:color="auto"/>
          <w:color w:val="auto"/>
        </w:rPr>
        <w:t>Maintenance of Existence; Conduct of Business.</w:t>
      </w:r>
      <w:r>
        <w:rPr>
          <w:rFonts w:ascii="Times New Roman" w:cs="Times New Roman" w:eastAsia="Times New Roman" w:hAnsi="Times New Roman"/>
          <w:sz w:val="14"/>
          <w:szCs w:val="14"/>
          <w:color w:val="auto"/>
        </w:rPr>
        <w:t xml:space="preserve"> Each Loan Party shall, and shall cause each of its Subsidiaries to, preserve and maintain its existence and all of its leases, privileges, licenses, permits, franchises, qualifications, and rights that are necessary or desirable in the ordinary conduct of its business, except to the extent a failure to so preserve and maintain could not reasonably be expected to have a Material Adverse Effect. Each Loan Party shall, and shall cause each of its Subsidiaries to, conduct its business in an orderly and efficient manner in accordance with good business practices.</w:t>
      </w:r>
    </w:p>
    <w:p>
      <w:pPr>
        <w:spacing w:after="0" w:line="2"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 xml:space="preserve">Section 6.3 </w:t>
      </w:r>
      <w:r>
        <w:rPr>
          <w:rFonts w:ascii="Times New Roman" w:cs="Times New Roman" w:eastAsia="Times New Roman" w:hAnsi="Times New Roman"/>
          <w:sz w:val="14"/>
          <w:szCs w:val="14"/>
          <w:b w:val="1"/>
          <w:bCs w:val="1"/>
          <w:u w:val="single" w:color="auto"/>
          <w:color w:val="auto"/>
        </w:rPr>
        <w:t>Maintenance of Properties.</w:t>
      </w:r>
      <w:r>
        <w:rPr>
          <w:rFonts w:ascii="Times New Roman" w:cs="Times New Roman" w:eastAsia="Times New Roman" w:hAnsi="Times New Roman"/>
          <w:sz w:val="14"/>
          <w:szCs w:val="14"/>
          <w:color w:val="auto"/>
        </w:rPr>
        <w:t xml:space="preserve"> Each Loan Party shall, and shall cause each of its Subsidiaries to, maintain, keep, and preserve all of its Properties (tangible and intangible) necessary or useful in the proper conduct of its business in good working order and condition (reasonable wear and tear excepted).</w:t>
      </w: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6.4 </w:t>
      </w:r>
      <w:r>
        <w:rPr>
          <w:rFonts w:ascii="Times New Roman" w:cs="Times New Roman" w:eastAsia="Times New Roman" w:hAnsi="Times New Roman"/>
          <w:sz w:val="14"/>
          <w:szCs w:val="14"/>
          <w:b w:val="1"/>
          <w:bCs w:val="1"/>
          <w:u w:val="single" w:color="auto"/>
          <w:color w:val="auto"/>
        </w:rPr>
        <w:t>Taxes and Claims.</w:t>
      </w:r>
      <w:r>
        <w:rPr>
          <w:rFonts w:ascii="Times New Roman" w:cs="Times New Roman" w:eastAsia="Times New Roman" w:hAnsi="Times New Roman"/>
          <w:sz w:val="14"/>
          <w:szCs w:val="14"/>
          <w:color w:val="auto"/>
        </w:rPr>
        <w:t xml:space="preserve"> Each Loan Party shall, and shall cause each of its Subsidiaries to, pay or discharge at or before maturity or before becoming delinquent (a) all Taxes, levies, assessments, and governmental charges imposed on it or its income or profits or any of its Property, and (b) all lawful claims for labor, material, and supplies, which, if unpaid, might become a Lien upon any of its Property;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Loan Party nor any of its Subsidiaries shall be required to pay or discharge any Tax, levy, assessment, or governmental charge which is being contested in good faith by appropriate proceedings diligently pursued, and for which adequate reserves in accordance with GAAP have been established.</w:t>
      </w:r>
    </w:p>
    <w:p>
      <w:pPr>
        <w:spacing w:after="0" w:line="2" w:lineRule="exact"/>
        <w:rPr>
          <w:sz w:val="20"/>
          <w:szCs w:val="20"/>
          <w:color w:val="auto"/>
        </w:rPr>
      </w:pPr>
    </w:p>
    <w:p>
      <w:pPr>
        <w:jc w:val="both"/>
        <w:ind w:firstLine="432"/>
        <w:spacing w:after="0" w:line="271" w:lineRule="auto"/>
        <w:rPr>
          <w:sz w:val="20"/>
          <w:szCs w:val="20"/>
          <w:color w:val="auto"/>
        </w:rPr>
      </w:pPr>
      <w:r>
        <w:rPr>
          <w:rFonts w:ascii="Times New Roman" w:cs="Times New Roman" w:eastAsia="Times New Roman" w:hAnsi="Times New Roman"/>
          <w:sz w:val="14"/>
          <w:szCs w:val="14"/>
          <w:color w:val="auto"/>
        </w:rPr>
        <w:t xml:space="preserve">Section 6.5 </w:t>
      </w:r>
      <w:r>
        <w:rPr>
          <w:rFonts w:ascii="Times New Roman" w:cs="Times New Roman" w:eastAsia="Times New Roman" w:hAnsi="Times New Roman"/>
          <w:sz w:val="14"/>
          <w:szCs w:val="14"/>
          <w:b w:val="1"/>
          <w:bCs w:val="1"/>
          <w:u w:val="single" w:color="auto"/>
          <w:color w:val="auto"/>
        </w:rPr>
        <w:t>Insurance.</w:t>
      </w:r>
      <w:r>
        <w:rPr>
          <w:rFonts w:ascii="Times New Roman" w:cs="Times New Roman" w:eastAsia="Times New Roman" w:hAnsi="Times New Roman"/>
          <w:sz w:val="14"/>
          <w:szCs w:val="14"/>
          <w:color w:val="auto"/>
        </w:rPr>
        <w:t xml:space="preserve"> Each Loan Party shall, and shall cause each of its Subsidiaries to, maintain insurance with financially sound and reputable insurance companies reasonably satisfactory to Administrative Agent in such amounts and covering such risks as is usually carried by companies engaged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1300"/>
          </w:cols>
          <w:pgMar w:left="300" w:top="287" w:right="29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similar businesses and owning similar Properties in the same general areas in which such Loan Party and its Subsidiaries operate, provided that in any event each Loan Party will maintain and cause each of its Subsidiaries to maintain workmen’s compensation insurance, property insurance, comprehensive general liability insurance and business interruption insurance with coverage amounts and deductibles reasonably satisfactory to Administrative Agent. Each insurance policy shall name Administrative Agent as lender loss payee or additional insured, as applicable, and each such insurance policy shall provide that such policy will not be cancelled or reduced without 30 days’ (or 10 days in the case of nonpayment of premium) prior written notice to Administrative Agent. Each Loan Party shall execute and deliver to Administrative Agent a collateral assignment, in form and substance satisfactory to Administrative Agent, of each business interruption insurance policy maintained by such Loan Party. Any Properties of each Loan Party and its Subsidiaries that are located at a customer job location shall be insured by the applicable customer in the ordinary course of such Loan Party or Subsidiary’s business.</w:t>
      </w:r>
    </w:p>
    <w:p>
      <w:pPr>
        <w:spacing w:after="0" w:line="4"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6.6</w:t>
      </w:r>
      <w:r>
        <w:rPr>
          <w:sz w:val="20"/>
          <w:szCs w:val="20"/>
          <w:color w:val="auto"/>
        </w:rPr>
        <w:tab/>
      </w:r>
      <w:r>
        <w:rPr>
          <w:rFonts w:ascii="Times New Roman" w:cs="Times New Roman" w:eastAsia="Times New Roman" w:hAnsi="Times New Roman"/>
          <w:sz w:val="14"/>
          <w:szCs w:val="14"/>
          <w:b w:val="1"/>
          <w:bCs w:val="1"/>
          <w:u w:val="single" w:color="auto"/>
          <w:color w:val="auto"/>
        </w:rPr>
        <w:t>Inspection Rights; Third-Party Field Examinations; Third-Party Appraisals</w:t>
      </w:r>
      <w:r>
        <w:rPr>
          <w:rFonts w:ascii="Times New Roman" w:cs="Times New Roman" w:eastAsia="Times New Roman" w:hAnsi="Times New Roman"/>
          <w:sz w:val="14"/>
          <w:szCs w:val="14"/>
          <w:color w:val="auto"/>
        </w:rPr>
        <w:t>.</w:t>
      </w:r>
    </w:p>
    <w:p>
      <w:pPr>
        <w:spacing w:after="0" w:line="39" w:lineRule="exact"/>
        <w:rPr>
          <w:sz w:val="20"/>
          <w:szCs w:val="20"/>
          <w:color w:val="auto"/>
        </w:rPr>
      </w:pPr>
    </w:p>
    <w:p>
      <w:pPr>
        <w:jc w:val="both"/>
        <w:ind w:left="420" w:firstLine="436"/>
        <w:spacing w:after="0" w:line="253" w:lineRule="auto"/>
        <w:tabs>
          <w:tab w:leader="none" w:pos="1168"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Loan Party shall, and shall cause each of its Subsidiaries to, permit representatives and independent contractors of Administrative Agent and each Lender (i) to examine, inspect, review, evaluate and make physical verifications of the Inventory (including Compressor Units) and other Collateral in any manner and through any medium that Administrative</w:t>
      </w:r>
    </w:p>
    <w:p>
      <w:pPr>
        <w:jc w:val="both"/>
        <w:ind w:left="42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Agent or such Lender considers advisable, (ii) to visit and inspect its Properties, (iii) to examine its corporate, financial and operating records, and make copies thereof or abstracts therefrom and (iv) to discuss its affairs, business, operations, financial condition and accounts with its directors, officers, employees and independent certified public accountants, all at the</w:t>
      </w:r>
    </w:p>
    <w:p>
      <w:pPr>
        <w:jc w:val="both"/>
        <w:ind w:left="42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expense of Borrowers and at such reasonable times during normal business hours and as often as may be reasonably requested;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other than with respect to such visits and inspections during the continuance of an Event of Default, (A) only Administrative Agent on behalf of the Lenders may exercise rights under this </w:t>
      </w:r>
      <w:r>
        <w:rPr>
          <w:rFonts w:ascii="Times New Roman" w:cs="Times New Roman" w:eastAsia="Times New Roman" w:hAnsi="Times New Roman"/>
          <w:sz w:val="14"/>
          <w:szCs w:val="14"/>
          <w:b w:val="1"/>
          <w:bCs w:val="1"/>
          <w:i w:val="1"/>
          <w:iCs w:val="1"/>
          <w:color w:val="auto"/>
        </w:rPr>
        <w:t>clause (a)</w:t>
      </w:r>
      <w:r>
        <w:rPr>
          <w:rFonts w:ascii="Times New Roman" w:cs="Times New Roman" w:eastAsia="Times New Roman" w:hAnsi="Times New Roman"/>
          <w:sz w:val="14"/>
          <w:szCs w:val="14"/>
          <w:color w:val="auto"/>
        </w:rPr>
        <w:t xml:space="preserve"> and (B) Administrative Agent</w:t>
      </w:r>
    </w:p>
    <w:p>
      <w:pPr>
        <w:jc w:val="both"/>
        <w:ind w:left="42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shall not exercise such rights more often than one time during any period of twelve (12) consecutive months (or two times in the event a Specified Reporting Period occurs or is in effect during such period);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when an Event of Default exists and is continuing, the Administrative Agent or any Lender (or any of their respective representatives or</w:t>
      </w: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contractors) may do any of the foregoing under this Section at the expense of Borrowers and at any time during normal business hours and without advance notice.</w:t>
      </w:r>
    </w:p>
    <w:p>
      <w:pPr>
        <w:spacing w:after="0" w:line="12" w:lineRule="exact"/>
        <w:rPr>
          <w:rFonts w:ascii="Times New Roman" w:cs="Times New Roman" w:eastAsia="Times New Roman" w:hAnsi="Times New Roman"/>
          <w:sz w:val="14"/>
          <w:szCs w:val="14"/>
          <w:color w:val="auto"/>
        </w:rPr>
      </w:pPr>
    </w:p>
    <w:p>
      <w:pPr>
        <w:jc w:val="both"/>
        <w:ind w:left="420" w:firstLine="436"/>
        <w:spacing w:after="0" w:line="253" w:lineRule="auto"/>
        <w:tabs>
          <w:tab w:leader="none" w:pos="1217"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Loan Party shall, and shall cause each of its Subsidiaries to, permit any representatives designated by Administrative Agent (including any consultants, accountants, lawyers and appraisers retained by Administrative Agent) to conduct third-party field exams of the Accounts of the Loan Parties (or Accounts that are to be acquired directly or indirectly</w:t>
      </w:r>
    </w:p>
    <w:p>
      <w:pPr>
        <w:jc w:val="both"/>
        <w:ind w:left="42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the Loan Parties in connection with a permitted investment or Permitted Acquisition) all at the expense of Borrowers (subject to the limitations set forth in this </w:t>
      </w:r>
      <w:r>
        <w:rPr>
          <w:rFonts w:ascii="Times New Roman" w:cs="Times New Roman" w:eastAsia="Times New Roman" w:hAnsi="Times New Roman"/>
          <w:sz w:val="14"/>
          <w:szCs w:val="14"/>
          <w:b w:val="1"/>
          <w:bCs w:val="1"/>
          <w:i w:val="1"/>
          <w:iCs w:val="1"/>
          <w:color w:val="auto"/>
        </w:rPr>
        <w:t>clause (b)</w:t>
      </w:r>
      <w:r>
        <w:rPr>
          <w:rFonts w:ascii="Times New Roman" w:cs="Times New Roman" w:eastAsia="Times New Roman" w:hAnsi="Times New Roman"/>
          <w:sz w:val="14"/>
          <w:szCs w:val="14"/>
          <w:color w:val="auto"/>
        </w:rPr>
        <w:t>) and at such reasonable times. The Loan Parties shall be responsible for the costs and expenses of (i)(x) one third-party field examination during any twelve (12) month period or (y) up to two field</w:t>
      </w:r>
    </w:p>
    <w:p>
      <w:pPr>
        <w:jc w:val="both"/>
        <w:ind w:left="42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examinations during any twelve (12) month period in the event that Availability shall have been less than the greater of (A) $37,500,000 and (B) ten percent (10%) of the Line Cap at any time during such period and (ii) any third-party field examination conducted in connection with a permitted investment or proposed Permitted Acquisition (in each case, whether or not</w:t>
      </w:r>
    </w:p>
    <w:p>
      <w:pPr>
        <w:ind w:left="420" w:right="20"/>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consummated). Additionally, there shall be no limitation on the number or frequency of third-party field examinations if an Event of Default has occurred and is continuing, and the Loan Parties shall be responsible for the costs and expenses of any third-party field examinations incurred as a result thereof and while such Event of Default is continuing.</w:t>
      </w:r>
    </w:p>
    <w:p>
      <w:pPr>
        <w:spacing w:after="0"/>
        <w:tabs>
          <w:tab w:leader="none" w:pos="0" w:val="left"/>
        </w:tabs>
        <w:numPr>
          <w:ilvl w:val="0"/>
          <w:numId w:val="164"/>
        </w:numPr>
        <w:rPr>
          <w:rFonts w:ascii="Times New Roman" w:cs="Times New Roman" w:eastAsia="Times New Roman" w:hAnsi="Times New Roman"/>
          <w:sz w:val="14"/>
          <w:szCs w:val="14"/>
          <w:color w:val="auto"/>
        </w:rPr>
      </w:pPr>
    </w:p>
    <w:p>
      <w:pPr>
        <w:spacing w:after="0" w:line="37" w:lineRule="exact"/>
        <w:rPr>
          <w:rFonts w:ascii="Times New Roman" w:cs="Times New Roman" w:eastAsia="Times New Roman" w:hAnsi="Times New Roman"/>
          <w:sz w:val="14"/>
          <w:szCs w:val="14"/>
          <w:color w:val="auto"/>
        </w:rPr>
      </w:pPr>
    </w:p>
    <w:p>
      <w:pPr>
        <w:ind w:left="860" w:firstLine="428"/>
        <w:spacing w:after="0" w:line="268" w:lineRule="auto"/>
        <w:tabs>
          <w:tab w:leader="none" w:pos="1683" w:val="left"/>
        </w:tabs>
        <w:numPr>
          <w:ilvl w:val="1"/>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Loan Party shall, and shall cause each of its Subsidiaries to, permit any representatives designated by Administrative Agent (including any consultants, accountants, lawyers and appraisers retained by Administrative Agent) to conduct third-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1300"/>
          </w:cols>
          <w:pgMar w:left="300" w:top="287" w:right="29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860"/>
        <w:spacing w:after="0" w:line="259" w:lineRule="auto"/>
        <w:rPr>
          <w:sz w:val="20"/>
          <w:szCs w:val="20"/>
          <w:color w:val="auto"/>
        </w:rPr>
      </w:pPr>
      <w:r>
        <w:rPr>
          <w:rFonts w:ascii="Times New Roman" w:cs="Times New Roman" w:eastAsia="Times New Roman" w:hAnsi="Times New Roman"/>
          <w:sz w:val="14"/>
          <w:szCs w:val="14"/>
          <w:color w:val="auto"/>
        </w:rPr>
        <w:t>party appraisals or updates thereof of the Inventory (including Compressor Units) and Equipment owned by the Loan Parties (or Inventory and Equipment that are to be acquired directly or indirectly by the Loan Parties in connection with a permitted investment or Permitted Acquisition), all at the expense of Borrowers (subject to the limitations set forth in this clause (c)) and at such reasonable times. (ii)</w:t>
      </w:r>
    </w:p>
    <w:p>
      <w:pPr>
        <w:spacing w:after="0" w:line="1" w:lineRule="exact"/>
        <w:rPr>
          <w:sz w:val="20"/>
          <w:szCs w:val="20"/>
          <w:color w:val="auto"/>
        </w:rPr>
      </w:pPr>
    </w:p>
    <w:p>
      <w:pPr>
        <w:jc w:val="both"/>
        <w:ind w:left="860" w:firstLine="428"/>
        <w:spacing w:after="0" w:line="250" w:lineRule="auto"/>
        <w:tabs>
          <w:tab w:leader="none" w:pos="1638"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Parties shall be responsible for the costs and expenses of (A)(x) one third-party appraisal during any twelve (12) month period or (y) up to two third-party appraisals during any twelve (12) month period in the event that Availability shall have been less than the greater of (1) $75,000,000 and (2) twenty percent (20%) of the Line Cap at any time during such period and (B) any third-party appraisal conducted in connection with a permitted investment or proposed Permitted Acquisition (in each case, whether or not consummated).</w:t>
      </w:r>
    </w:p>
    <w:p>
      <w:pPr>
        <w:spacing w:after="0" w:line="4" w:lineRule="exact"/>
        <w:rPr>
          <w:rFonts w:ascii="Times New Roman" w:cs="Times New Roman" w:eastAsia="Times New Roman" w:hAnsi="Times New Roman"/>
          <w:sz w:val="14"/>
          <w:szCs w:val="14"/>
          <w:color w:val="auto"/>
        </w:rPr>
      </w:pPr>
    </w:p>
    <w:p>
      <w:pPr>
        <w:ind w:left="860" w:firstLine="428"/>
        <w:spacing w:after="0" w:line="266" w:lineRule="auto"/>
        <w:tabs>
          <w:tab w:leader="none" w:pos="1691"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Additionally, there shall be no limitation on the number or frequency of third-party appraisals if an Event of Default has occurred and is continuing, and the Loan Parties shall be responsible for the costs and expenses of any third-party appraisals incurred as a result thereof while such Event of Default has occurred and is continuing.</w:t>
      </w:r>
    </w:p>
    <w:p>
      <w:pPr>
        <w:spacing w:after="0" w:line="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 xml:space="preserve">Section 6.7 </w:t>
      </w:r>
      <w:r>
        <w:rPr>
          <w:rFonts w:ascii="Times New Roman" w:cs="Times New Roman" w:eastAsia="Times New Roman" w:hAnsi="Times New Roman"/>
          <w:sz w:val="14"/>
          <w:szCs w:val="14"/>
          <w:b w:val="1"/>
          <w:bCs w:val="1"/>
          <w:u w:val="single" w:color="auto"/>
          <w:color w:val="auto"/>
        </w:rPr>
        <w:t>Keeping Books and Records.</w:t>
      </w:r>
      <w:r>
        <w:rPr>
          <w:rFonts w:ascii="Times New Roman" w:cs="Times New Roman" w:eastAsia="Times New Roman" w:hAnsi="Times New Roman"/>
          <w:sz w:val="14"/>
          <w:szCs w:val="14"/>
          <w:color w:val="auto"/>
        </w:rPr>
        <w:t xml:space="preserve"> Each Loan Party shall, and shall cause each of its Subsidiaries to, maintain proper books of record and account in which full, true, and correct entries in conformity with GAAP shall be made of all dealings and transactions in relation to its business and activities.</w:t>
      </w: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 xml:space="preserve">Section 6.8 </w:t>
      </w:r>
      <w:r>
        <w:rPr>
          <w:rFonts w:ascii="Times New Roman" w:cs="Times New Roman" w:eastAsia="Times New Roman" w:hAnsi="Times New Roman"/>
          <w:sz w:val="14"/>
          <w:szCs w:val="14"/>
          <w:b w:val="1"/>
          <w:bCs w:val="1"/>
          <w:u w:val="single" w:color="auto"/>
          <w:color w:val="auto"/>
        </w:rPr>
        <w:t>Compliance with Laws.</w:t>
      </w:r>
      <w:r>
        <w:rPr>
          <w:rFonts w:ascii="Times New Roman" w:cs="Times New Roman" w:eastAsia="Times New Roman" w:hAnsi="Times New Roman"/>
          <w:sz w:val="14"/>
          <w:szCs w:val="14"/>
          <w:color w:val="auto"/>
        </w:rPr>
        <w:t xml:space="preserve"> Each Loan Party shall, and shall cause each of its Subsidiaries to, comply in all material respects with all applicable Laws (including, without limitation, all Anti-Terrorism Laws, Anti-Corruption Laws and applicable Sanctions) and applicable decrees of any Governmental Authority or arbitrator, except in such instances in which the failure to comply therewith could not, individually or in the aggregate, reasonably be expected to have a Material Adverse Effect.</w:t>
      </w:r>
    </w:p>
    <w:p>
      <w:pPr>
        <w:spacing w:after="0" w:line="1"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 xml:space="preserve">Section 6.9 </w:t>
      </w:r>
      <w:r>
        <w:rPr>
          <w:rFonts w:ascii="Times New Roman" w:cs="Times New Roman" w:eastAsia="Times New Roman" w:hAnsi="Times New Roman"/>
          <w:sz w:val="14"/>
          <w:szCs w:val="14"/>
          <w:b w:val="1"/>
          <w:bCs w:val="1"/>
          <w:u w:val="single" w:color="auto"/>
          <w:color w:val="auto"/>
        </w:rPr>
        <w:t>Compliance with Agreements.</w:t>
      </w:r>
      <w:r>
        <w:rPr>
          <w:rFonts w:ascii="Times New Roman" w:cs="Times New Roman" w:eastAsia="Times New Roman" w:hAnsi="Times New Roman"/>
          <w:sz w:val="14"/>
          <w:szCs w:val="14"/>
          <w:color w:val="auto"/>
        </w:rPr>
        <w:t xml:space="preserve"> Each Loan Party shall, and shall cause each of its Subsidiaries to, comply in all material respects with all agreements, contracts, and instruments binding on it or affecting its Properties or business, except to the extent a failure to so comply could not reasonably be expected to have a Material Adverse Effect.</w:t>
      </w: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6.10 </w:t>
      </w:r>
      <w:r>
        <w:rPr>
          <w:rFonts w:ascii="Times New Roman" w:cs="Times New Roman" w:eastAsia="Times New Roman" w:hAnsi="Times New Roman"/>
          <w:sz w:val="14"/>
          <w:szCs w:val="14"/>
          <w:b w:val="1"/>
          <w:bCs w:val="1"/>
          <w:u w:val="single" w:color="auto"/>
          <w:color w:val="auto"/>
        </w:rPr>
        <w:t>Further Assurances.</w:t>
      </w:r>
      <w:r>
        <w:rPr>
          <w:rFonts w:ascii="Times New Roman" w:cs="Times New Roman" w:eastAsia="Times New Roman" w:hAnsi="Times New Roman"/>
          <w:sz w:val="14"/>
          <w:szCs w:val="14"/>
          <w:color w:val="auto"/>
        </w:rPr>
        <w:t xml:space="preserve"> Each Loan Party shall, and shall cause each of its Subsidiaries and each other Loan Party to, execute and deliver such further agreements and instruments and take such further action as may be reasonably requested by Administrative Agent or any Lender to carry out the provisions and purposes of this Agreement and the other Loan Documents and to create, preserve, and perfect the Liens of Administrative Agent in the Collateral.</w:t>
      </w:r>
    </w:p>
    <w:p>
      <w:pPr>
        <w:spacing w:after="0" w:line="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 xml:space="preserve">Section 6.11 </w:t>
      </w:r>
      <w:r>
        <w:rPr>
          <w:rFonts w:ascii="Times New Roman" w:cs="Times New Roman" w:eastAsia="Times New Roman" w:hAnsi="Times New Roman"/>
          <w:sz w:val="14"/>
          <w:szCs w:val="14"/>
          <w:b w:val="1"/>
          <w:bCs w:val="1"/>
          <w:u w:val="single" w:color="auto"/>
          <w:color w:val="auto"/>
        </w:rPr>
        <w:t>ERISA.</w:t>
      </w:r>
      <w:r>
        <w:rPr>
          <w:rFonts w:ascii="Times New Roman" w:cs="Times New Roman" w:eastAsia="Times New Roman" w:hAnsi="Times New Roman"/>
          <w:sz w:val="14"/>
          <w:szCs w:val="14"/>
          <w:color w:val="auto"/>
        </w:rPr>
        <w:t xml:space="preserve"> Each Loan Party shall, and shall cause each of its Subsidiaries to, comply with all minimum funding requirements, and all other material requirements, of ERISA and the Code, if applicable, so as not to give rise to any liability thereunder, except to the extent a failure to so comply could not reasonably be expected to have a Material Adverse Effect.</w:t>
      </w: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6.12</w:t>
      </w:r>
      <w:r>
        <w:rPr>
          <w:sz w:val="20"/>
          <w:szCs w:val="20"/>
          <w:color w:val="auto"/>
        </w:rPr>
        <w:tab/>
      </w:r>
      <w:r>
        <w:rPr>
          <w:rFonts w:ascii="Times New Roman" w:cs="Times New Roman" w:eastAsia="Times New Roman" w:hAnsi="Times New Roman"/>
          <w:sz w:val="14"/>
          <w:szCs w:val="14"/>
          <w:b w:val="1"/>
          <w:bCs w:val="1"/>
          <w:u w:val="single" w:color="auto"/>
          <w:color w:val="auto"/>
        </w:rPr>
        <w:t>Depository Relationship; Control Agreements; Blocked Accounts .</w:t>
      </w:r>
    </w:p>
    <w:p>
      <w:pPr>
        <w:spacing w:after="0" w:line="39" w:lineRule="exact"/>
        <w:rPr>
          <w:sz w:val="20"/>
          <w:szCs w:val="20"/>
          <w:color w:val="auto"/>
        </w:rPr>
      </w:pPr>
    </w:p>
    <w:p>
      <w:pPr>
        <w:jc w:val="both"/>
        <w:ind w:left="420" w:right="20" w:firstLine="436"/>
        <w:spacing w:after="0" w:line="246" w:lineRule="auto"/>
        <w:tabs>
          <w:tab w:leader="none" w:pos="1183"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Loan Party shall, and shall cause each of its Subsidiaries (other than the Excluded Subsidiary) to, (i) use the financial institution serving as Administrative Agent as its principal depository bank, including for the maintenance of business, cash management, operating and administrative deposit accounts, (ii) cause all commodity accounts, deposit accounts and securities accounts (in each case, excluding those accounts which are Excluded Accounts) held by the Loan Parties as of the Closing Date to be subject to a Control Agreement in favor of Administrative Agent, in form and substance reasonably satisfactory to Administrative Agent, which provides that Administrative Agent shall, during the occurrence and continuation of an Event of Default, have exclusive “Control” (as defined in the UCC) of such account and (iii) will cause all collection and other Receipts to be directed to Blocked Accounts in accordance with </w:t>
      </w:r>
      <w:r>
        <w:rPr>
          <w:rFonts w:ascii="Times New Roman" w:cs="Times New Roman" w:eastAsia="Times New Roman" w:hAnsi="Times New Roman"/>
          <w:sz w:val="14"/>
          <w:szCs w:val="14"/>
          <w:b w:val="1"/>
          <w:bCs w:val="1"/>
          <w:i w:val="1"/>
          <w:iCs w:val="1"/>
          <w:color w:val="auto"/>
        </w:rPr>
        <w:t>Section 2.11</w:t>
      </w:r>
      <w:r>
        <w:rPr>
          <w:rFonts w:ascii="Times New Roman" w:cs="Times New Roman" w:eastAsia="Times New Roman" w:hAnsi="Times New Roman"/>
          <w:sz w:val="14"/>
          <w:szCs w:val="14"/>
          <w:color w:val="auto"/>
        </w:rPr>
        <w:t xml:space="preserve">. Loan Parties will at all times maintain Blocked Accounts required by </w:t>
      </w:r>
      <w:r>
        <w:rPr>
          <w:rFonts w:ascii="Times New Roman" w:cs="Times New Roman" w:eastAsia="Times New Roman" w:hAnsi="Times New Roman"/>
          <w:sz w:val="14"/>
          <w:szCs w:val="14"/>
          <w:b w:val="1"/>
          <w:bCs w:val="1"/>
          <w:i w:val="1"/>
          <w:iCs w:val="1"/>
          <w:color w:val="auto"/>
        </w:rPr>
        <w:t>Section 2.11</w:t>
      </w:r>
      <w:r>
        <w:rPr>
          <w:rFonts w:ascii="Times New Roman" w:cs="Times New Roman" w:eastAsia="Times New Roman" w:hAnsi="Times New Roman"/>
          <w:sz w:val="14"/>
          <w:szCs w:val="14"/>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1300"/>
          </w:cols>
          <w:pgMar w:left="300" w:top="287" w:right="299" w:bottom="1440" w:gutter="0" w:footer="0" w:header="0"/>
        </w:sectPr>
      </w:pPr>
    </w:p>
    <w:bookmarkStart w:id="173" w:name="page174"/>
    <w:bookmarkEnd w:id="173"/>
    <w:p>
      <w:pPr>
        <w:ind w:left="1026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8" w:lineRule="exact"/>
        <w:rPr>
          <w:sz w:val="20"/>
          <w:szCs w:val="20"/>
          <w:color w:val="auto"/>
        </w:rPr>
      </w:pPr>
    </w:p>
    <w:p>
      <w:pPr>
        <w:jc w:val="both"/>
        <w:ind w:firstLine="436"/>
        <w:spacing w:after="0" w:line="244" w:lineRule="auto"/>
        <w:tabs>
          <w:tab w:leader="none" w:pos="762"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Loan Party shall, with respect to each deposit account, securities account and commodity account (in each case, excluding those accounts which are Excluded Accounts and Blocked Accounts) that such Loan Party opens, maintains or acquires after the Closing Date, (i) substantially contemporaneously with the opening of or (ii) within thirty (30) days (or such longer period as agreed to by Administrative Agent in its sole discretion) of the acquisition of such deposit account, securities account or commodity account (in each case, excluding those accounts which are Excluded Accounts), enter into a Control Agreement in form and substance satisfactory to the Administrative Agent, pursuant to which such Control Agreement shall cause the depository bank that maintains such deposit account, securities intermediary that maintains such securities account, or commodities intermediary that maintains such commodity account, as applicable, to agree to comply during the occurrence and continuation of an Event of Default with instructions from the Administrative Agent to such depository bank, securities intermediary or commodities intermediary directing the disposition of funds from time to time credited to such deposit account, securities account or commodity Account, without further consent of such Loan Party, or take such other action as the Administrative Agent may approve in order to perfect the Administrative Agent’s security interest in such deposit account, securities account or commodity account.</w:t>
      </w:r>
    </w:p>
    <w:p>
      <w:pPr>
        <w:spacing w:after="0" w:line="11" w:lineRule="exact"/>
        <w:rPr>
          <w:rFonts w:ascii="Times New Roman" w:cs="Times New Roman" w:eastAsia="Times New Roman" w:hAnsi="Times New Roman"/>
          <w:sz w:val="14"/>
          <w:szCs w:val="14"/>
          <w:color w:val="auto"/>
        </w:rPr>
      </w:pPr>
    </w:p>
    <w:p>
      <w:pPr>
        <w:jc w:val="both"/>
        <w:ind w:firstLine="436"/>
        <w:spacing w:after="0" w:line="249" w:lineRule="auto"/>
        <w:tabs>
          <w:tab w:leader="none" w:pos="737"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Loan Party shall, with respect to Blocked Accounts that such Loan Party opens, maintains or acquires after the Closing Date, (i) substantially contemporaneously with the opening of or (ii) within thirty (30) days (or such longer period as agreed to by Administrative Agent in its sole discretion) of the acquisition of such Blocked Account, (A) enter into a Control Agreement in form and substance satisfactory to the Administrative Agent, pursuant to which such Control Agreement shall cause the depository bank that maintains such Blocked Account, to agree to comply at any time with instructions from the Administrative Agent to such depository bank directing the disposition of funds from time to time credited to such Blocked Account, without further consent of such Loan Party, (B) take such other action as the Administrative Agent may approve in order to perfect the Administrative Agent’s security interest in such Blocked Account and (C) cause all collection and other Receipts to be directed to a Blocked Account in accordance with </w:t>
      </w:r>
      <w:r>
        <w:rPr>
          <w:rFonts w:ascii="Times New Roman" w:cs="Times New Roman" w:eastAsia="Times New Roman" w:hAnsi="Times New Roman"/>
          <w:sz w:val="14"/>
          <w:szCs w:val="14"/>
          <w:b w:val="1"/>
          <w:bCs w:val="1"/>
          <w:i w:val="1"/>
          <w:iCs w:val="1"/>
          <w:color w:val="auto"/>
        </w:rPr>
        <w:t>Section 2.11</w:t>
      </w:r>
      <w:r>
        <w:rPr>
          <w:rFonts w:ascii="Times New Roman" w:cs="Times New Roman" w:eastAsia="Times New Roman" w:hAnsi="Times New Roman"/>
          <w:sz w:val="14"/>
          <w:szCs w:val="14"/>
          <w:color w:val="auto"/>
        </w:rPr>
        <w:t>.</w:t>
      </w:r>
    </w:p>
    <w:p>
      <w:pPr>
        <w:spacing w:after="0" w:line="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6.13  </w:t>
      </w:r>
      <w:r>
        <w:rPr>
          <w:rFonts w:ascii="Times New Roman" w:cs="Times New Roman" w:eastAsia="Times New Roman" w:hAnsi="Times New Roman"/>
          <w:sz w:val="14"/>
          <w:szCs w:val="14"/>
          <w:b w:val="1"/>
          <w:bCs w:val="1"/>
          <w:u w:val="single" w:color="auto"/>
          <w:color w:val="auto"/>
        </w:rPr>
        <w:t>Additional Loan Parties.</w:t>
      </w:r>
    </w:p>
    <w:p>
      <w:pPr>
        <w:spacing w:after="0" w:line="39" w:lineRule="exact"/>
        <w:rPr>
          <w:sz w:val="20"/>
          <w:szCs w:val="20"/>
          <w:color w:val="auto"/>
        </w:rPr>
      </w:pPr>
    </w:p>
    <w:p>
      <w:pPr>
        <w:jc w:val="both"/>
        <w:ind w:firstLine="436"/>
        <w:spacing w:after="0" w:line="242" w:lineRule="auto"/>
        <w:tabs>
          <w:tab w:leader="none" w:pos="783"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Loan Party shall notify Administrative Agent at the time that any Person becomes a wholly-owned Subsidiary of such Loan Party (including pursuant to a Permitted Acquisition), other than any Excluded Subsidiary, or ceases to be an Excluded Subsidiary, and promptly thereafter (and in any event within thirty (30) days (or such longer period as agreed to by Administrative Agent in its sole discretion)) (i) execute and deliver or cause to be delivered to Administrative Agent all Security Documents, stock certificates, stock powers and other agreements and instruments as may be requested by Administrative Agent to ensure that Administrative Agent has a perfected Lien on all ownership interests (other than Excluded Assets) held by such Loan Party in such Subsidiary, and (ii) cause such new Subsidiary or Subsidiary that ceases to be an Excluded Subsidiary to (A) become a Guarantor and/or Borrower by executing and delivering to Administrative Agent a Guaranty (or a joinder to Guaranty) and/or a Joinder Agreement (provided that any Person that is a CFC, U.S. Foreign HoldCo or a Foreign Subsidiary that is not an Excluded Subsidiary shall in no event be a Borrower and may only become a Guarantor pursuant to this </w:t>
      </w:r>
      <w:r>
        <w:rPr>
          <w:rFonts w:ascii="Times New Roman" w:cs="Times New Roman" w:eastAsia="Times New Roman" w:hAnsi="Times New Roman"/>
          <w:sz w:val="14"/>
          <w:szCs w:val="14"/>
          <w:b w:val="1"/>
          <w:bCs w:val="1"/>
          <w:i w:val="1"/>
          <w:iCs w:val="1"/>
          <w:color w:val="auto"/>
        </w:rPr>
        <w:t>Section 6.13(a)</w:t>
      </w:r>
      <w:r>
        <w:rPr>
          <w:rFonts w:ascii="Times New Roman" w:cs="Times New Roman" w:eastAsia="Times New Roman" w:hAnsi="Times New Roman"/>
          <w:sz w:val="14"/>
          <w:szCs w:val="14"/>
          <w:color w:val="auto"/>
        </w:rPr>
        <w:t xml:space="preserve">), (B) execute and deliver all Security Documents (or joinders or assumptions thereto) requested by Administrative Agent pledging to Administrative Agent for the benefit of the Secured Parties all of its Property (other than Excluded Assets or such other exceptions as Administrative Agent may permit) and take all actions required by Administrative Agent to grant to Administrative Agent for the benefit of Secured Parties a perfected first priority (subject to Permitted Liens that have priority over the Liens in favor of the Administrative Agent under applicable law) security interest in such Property, including entering into Control Agreements required pursuant to </w:t>
      </w:r>
      <w:r>
        <w:rPr>
          <w:rFonts w:ascii="Times New Roman" w:cs="Times New Roman" w:eastAsia="Times New Roman" w:hAnsi="Times New Roman"/>
          <w:sz w:val="14"/>
          <w:szCs w:val="14"/>
          <w:b w:val="1"/>
          <w:bCs w:val="1"/>
          <w:i w:val="1"/>
          <w:iCs w:val="1"/>
          <w:color w:val="auto"/>
        </w:rPr>
        <w:t>Section 6.12</w:t>
      </w:r>
      <w:r>
        <w:rPr>
          <w:rFonts w:ascii="Times New Roman" w:cs="Times New Roman" w:eastAsia="Times New Roman" w:hAnsi="Times New Roman"/>
          <w:sz w:val="14"/>
          <w:szCs w:val="14"/>
          <w:color w:val="auto"/>
        </w:rPr>
        <w:t xml:space="preserve"> and the filing of UCC financing statements in such jurisdictions as may be requested by Administrative Agent, (C) in the case of</w:t>
      </w:r>
    </w:p>
    <w:p>
      <w:pPr>
        <w:spacing w:after="0" w:line="200" w:lineRule="exact"/>
        <w:rPr>
          <w:sz w:val="20"/>
          <w:szCs w:val="20"/>
          <w:color w:val="auto"/>
        </w:rPr>
      </w:pPr>
    </w:p>
    <w:p>
      <w:pPr>
        <w:spacing w:after="0" w:line="35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0880"/>
          </w:cols>
          <w:pgMar w:left="720" w:top="287" w:right="29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420"/>
        <w:spacing w:after="0" w:line="254" w:lineRule="auto"/>
        <w:rPr>
          <w:sz w:val="20"/>
          <w:szCs w:val="20"/>
          <w:color w:val="auto"/>
        </w:rPr>
      </w:pPr>
      <w:r>
        <w:rPr>
          <w:rFonts w:ascii="Times New Roman" w:cs="Times New Roman" w:eastAsia="Times New Roman" w:hAnsi="Times New Roman"/>
          <w:sz w:val="14"/>
          <w:szCs w:val="14"/>
          <w:color w:val="auto"/>
        </w:rPr>
        <w:t>any Subsidiary that will become a Borrower, deliver to Administrative Agent and any applicable Lender such information and documentation reasonably requested by the Administrative Agent or such Lender for purposes of compliance with applicable “know your customer” requirements under the Patriot Act, other applicable Anti-Corruption Laws or Anti-Terrorism Laws or the Beneficial Ownership Regulation, and (D) deliver to Administrative Agent such other documents and instruments as Administrative Agent may require, including appropriate favorable opinions of counsel to such Person in form, content and scope reasonably satisfactory to Administrative Agent.</w:t>
      </w:r>
    </w:p>
    <w:p>
      <w:pPr>
        <w:spacing w:after="0" w:line="2" w:lineRule="exact"/>
        <w:rPr>
          <w:sz w:val="20"/>
          <w:szCs w:val="20"/>
          <w:color w:val="auto"/>
        </w:rPr>
      </w:pPr>
    </w:p>
    <w:p>
      <w:pPr>
        <w:jc w:val="both"/>
        <w:ind w:left="420" w:firstLine="436"/>
        <w:spacing w:after="0" w:line="244" w:lineRule="auto"/>
        <w:tabs>
          <w:tab w:leader="none" w:pos="1205"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Loan Party will cause 100% of the issued and outstanding Equity Interests of each of its Subsidiaries (other than Equity Interests constituting Excluded Assets) to be subject at all times to a first priority, perfected Lien in favor of the Administrative Agent, for the benefit of the Administrative Agent and the other Secured Parties, pursuant to the terms and conditions of the Loan Documents or other Security Documents as the Administrative Agent shall reasonably request;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notwithstanding any other provisions of this Agreement or any other Loan Document to the contrary, (i) in no event shall more than 65% of the total combined voting power of all classes of capital stock entitled to vote of any “first tier” CFC or U.S. Foreign HoldCo be pledged pursuant to the provisions of the Security Agreement or any other Security Document (to the extent that such pledge in excess of 65% could reasonably be expected to give rise to material adverse tax consequences to Holdings (or any direct or indirect owner thereof) and/or any of its Subsidiaries, in each case, as reasonably determined by Holdings in good faith in consultation with the Administrative Agent), and (ii) in no event shall any of the Equity Interests of a Subsidiary that is owned by a CFC be pledged pursuant to the provisions of the Security Agreement or any other Security Document (to the extent that such pledge could reasonably be expected to give rise to material adverse tax consequences to Holdings (or any direct or indirect owner thereof) and/or any of its Subsidiaries, in each case, as reasonably determined by Holdings in good faith in consultation with the Administrative Agent).</w:t>
      </w:r>
    </w:p>
    <w:p>
      <w:pPr>
        <w:spacing w:after="0" w:line="172"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 xml:space="preserve">Section 6.14 </w:t>
      </w:r>
      <w:r>
        <w:rPr>
          <w:rFonts w:ascii="Times New Roman" w:cs="Times New Roman" w:eastAsia="Times New Roman" w:hAnsi="Times New Roman"/>
          <w:sz w:val="14"/>
          <w:szCs w:val="14"/>
          <w:b w:val="1"/>
          <w:bCs w:val="1"/>
          <w:u w:val="single" w:color="auto"/>
          <w:color w:val="auto"/>
        </w:rPr>
        <w:t>Sanctions; Anti-Corruption Laws.</w:t>
      </w:r>
      <w:r>
        <w:rPr>
          <w:rFonts w:ascii="Times New Roman" w:cs="Times New Roman" w:eastAsia="Times New Roman" w:hAnsi="Times New Roman"/>
          <w:sz w:val="14"/>
          <w:szCs w:val="14"/>
          <w:color w:val="auto"/>
        </w:rPr>
        <w:t xml:space="preserve"> Each Loan Party will maintain in effect policies and procedures designed to promote compliance by such Loan Party, its Subsidiaries, and their respective directors, officers, employees, and agents with applicable Sanctions and with the FCPA and any other applicable Anti-Corruption Laws.</w:t>
      </w:r>
    </w:p>
    <w:p>
      <w:pPr>
        <w:jc w:val="both"/>
        <w:ind w:firstLine="432"/>
        <w:spacing w:after="0" w:line="244" w:lineRule="auto"/>
        <w:rPr>
          <w:sz w:val="20"/>
          <w:szCs w:val="20"/>
          <w:color w:val="auto"/>
        </w:rPr>
      </w:pPr>
      <w:r>
        <w:rPr>
          <w:rFonts w:ascii="Times New Roman" w:cs="Times New Roman" w:eastAsia="Times New Roman" w:hAnsi="Times New Roman"/>
          <w:sz w:val="14"/>
          <w:szCs w:val="14"/>
          <w:color w:val="auto"/>
        </w:rPr>
        <w:t xml:space="preserve">Section 6.15 </w:t>
      </w:r>
      <w:r>
        <w:rPr>
          <w:rFonts w:ascii="Times New Roman" w:cs="Times New Roman" w:eastAsia="Times New Roman" w:hAnsi="Times New Roman"/>
          <w:sz w:val="14"/>
          <w:szCs w:val="14"/>
          <w:b w:val="1"/>
          <w:bCs w:val="1"/>
          <w:u w:val="single" w:color="auto"/>
          <w:color w:val="auto"/>
        </w:rPr>
        <w:t>Inventory; Collateral Access Agreements.</w:t>
      </w:r>
      <w:r>
        <w:rPr>
          <w:rFonts w:ascii="Times New Roman" w:cs="Times New Roman" w:eastAsia="Times New Roman" w:hAnsi="Times New Roman"/>
          <w:sz w:val="14"/>
          <w:szCs w:val="14"/>
          <w:color w:val="auto"/>
        </w:rPr>
        <w:t xml:space="preserve"> If any Loan Party’s Inventory is located at a location leased by such Loan Party or in the possession or control of any Person (other than a customer of such Loan Party), the Borrower Representative shall notify the landlord or such Person, as applicable, of Administrative Agent’s security interest therein and, upon request by Administrative Agent, instruct such Person to execute a Collateral Access Agreement or otherwise acknowledge in writing its agreement to hold all such Inventory for the benefit of Administrative Agent and subject to Administrative Agent’s instructions; provided that if the Borrower Representative is unable to have such Person execute a Collateral Access Agreement, then such failure shall not constitute a Default or Event of Default under this Agreement, but Administrative Agent may establish a Rent Reserve. If the Inventory is located in a third party warehouse facility under a bailment arrangement with a warehouse operator, bailee, or other third party and if so requested by Administrative Agent, the Borrower Representative and such other Loan Parties (as promptly as possible after requested by Administrative Agent but in any event within fifteen (15) Business Days after any such request is made) will deliver (i) to Administrative Agent warehouse receipts covering any Loan Party’s Inventory located in such warehouses showing Administrative Agent as the beneficiary thereof and (ii) to the warehouseman such agreements relating to the release of warehouse Inventory as Administrative Agent may reasonably request; provided that if the Borrower Representative is unable to have such Person execute a Collateral Access Agreement, then such failure shall not constitute a Default or Event of Default under this Agreement, but Administrative Agent may establish a Rent Reserve.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7.</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NEGATIVE COVENANTS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1300"/>
          </w:cols>
          <w:pgMar w:left="300" w:top="287" w:right="29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4"/>
          <w:szCs w:val="14"/>
          <w:color w:val="auto"/>
        </w:rPr>
        <w:t>Each Loan Party covenants and agrees that, as long as the Obligations or any part thereof are outstanding or any Letter of Credit is outstanding or any Lender has any Commitment hereunder:</w:t>
      </w:r>
    </w:p>
    <w:p>
      <w:pPr>
        <w:spacing w:after="0" w:line="183"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7.1</w:t>
      </w:r>
      <w:r>
        <w:rPr>
          <w:sz w:val="20"/>
          <w:szCs w:val="20"/>
          <w:color w:val="auto"/>
        </w:rPr>
        <w:tab/>
      </w:r>
      <w:r>
        <w:rPr>
          <w:rFonts w:ascii="Times New Roman" w:cs="Times New Roman" w:eastAsia="Times New Roman" w:hAnsi="Times New Roman"/>
          <w:sz w:val="14"/>
          <w:szCs w:val="14"/>
          <w:b w:val="1"/>
          <w:bCs w:val="1"/>
          <w:u w:val="single" w:color="auto"/>
          <w:color w:val="auto"/>
        </w:rPr>
        <w:t xml:space="preserve">Debt. </w:t>
      </w:r>
      <w:r>
        <w:rPr>
          <w:rFonts w:ascii="Times New Roman" w:cs="Times New Roman" w:eastAsia="Times New Roman" w:hAnsi="Times New Roman"/>
          <w:sz w:val="14"/>
          <w:szCs w:val="14"/>
          <w:color w:val="auto"/>
        </w:rPr>
        <w:t>Each Loan Party shall not, and shall not permit any of its Subsidiaries to, directly or indirectly, incur, create, assume, or permit to exist any Debt, except:</w:t>
      </w:r>
    </w:p>
    <w:p>
      <w:pPr>
        <w:spacing w:after="0" w:line="39" w:lineRule="exact"/>
        <w:rPr>
          <w:sz w:val="20"/>
          <w:szCs w:val="20"/>
          <w:color w:val="auto"/>
        </w:rPr>
      </w:pPr>
    </w:p>
    <w:p>
      <w:pPr>
        <w:ind w:left="1160" w:hanging="304"/>
        <w:spacing w:after="0"/>
        <w:tabs>
          <w:tab w:leader="none" w:pos="116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under the Loan Documents and obligations existing or arising under Bank Product Agreements (other than Hedge Agreements);</w:t>
      </w:r>
    </w:p>
    <w:p>
      <w:pPr>
        <w:spacing w:after="0" w:line="33"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existing Debt described on </w:t>
      </w:r>
      <w:r>
        <w:rPr>
          <w:rFonts w:ascii="Times New Roman" w:cs="Times New Roman" w:eastAsia="Times New Roman" w:hAnsi="Times New Roman"/>
          <w:sz w:val="14"/>
          <w:szCs w:val="14"/>
          <w:b w:val="1"/>
          <w:bCs w:val="1"/>
          <w:i w:val="1"/>
          <w:iCs w:val="1"/>
          <w:color w:val="auto"/>
        </w:rPr>
        <w:t>Schedule 7.1</w:t>
      </w:r>
      <w:r>
        <w:rPr>
          <w:rFonts w:ascii="Times New Roman" w:cs="Times New Roman" w:eastAsia="Times New Roman" w:hAnsi="Times New Roman"/>
          <w:sz w:val="14"/>
          <w:szCs w:val="14"/>
          <w:color w:val="auto"/>
        </w:rPr>
        <w:t xml:space="preserve"> and Permitted Refinancing of such Debt;</w:t>
      </w:r>
    </w:p>
    <w:p>
      <w:pPr>
        <w:spacing w:after="0" w:line="41"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Money Debt and Capitalized Lease Obligations not to exceed $10,000,000 in the aggregate at any time outstanding and any Permitted Refinancing of such Debt;</w:t>
      </w:r>
    </w:p>
    <w:p>
      <w:pPr>
        <w:spacing w:after="0" w:line="28" w:lineRule="exact"/>
        <w:rPr>
          <w:rFonts w:ascii="Times New Roman" w:cs="Times New Roman" w:eastAsia="Times New Roman" w:hAnsi="Times New Roman"/>
          <w:sz w:val="14"/>
          <w:szCs w:val="14"/>
          <w:color w:val="auto"/>
        </w:rPr>
      </w:pPr>
    </w:p>
    <w:p>
      <w:pPr>
        <w:ind w:left="420" w:firstLine="436"/>
        <w:spacing w:after="0" w:line="268" w:lineRule="auto"/>
        <w:tabs>
          <w:tab w:leader="none" w:pos="1192"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Debt of any Loan Party owing to any other Loan Party, (ii) Debt of any Subsidiary that is not a Guarantor owing to any other Subsidiary that is not a Guarantor, and (iii) Debt of any Subsidiary that is not a Guarantor owing to any Loan Party that is permitted under </w:t>
      </w:r>
      <w:r>
        <w:rPr>
          <w:rFonts w:ascii="Times New Roman" w:cs="Times New Roman" w:eastAsia="Times New Roman" w:hAnsi="Times New Roman"/>
          <w:sz w:val="14"/>
          <w:szCs w:val="14"/>
          <w:b w:val="1"/>
          <w:bCs w:val="1"/>
          <w:i w:val="1"/>
          <w:iCs w:val="1"/>
          <w:color w:val="auto"/>
        </w:rPr>
        <w:t>Section 7.5</w:t>
      </w:r>
      <w:r>
        <w:rPr>
          <w:rFonts w:ascii="Times New Roman" w:cs="Times New Roman" w:eastAsia="Times New Roman" w:hAnsi="Times New Roman"/>
          <w:sz w:val="14"/>
          <w:szCs w:val="14"/>
          <w:color w:val="auto"/>
        </w:rPr>
        <w:t>;</w:t>
      </w:r>
    </w:p>
    <w:p>
      <w:pPr>
        <w:jc w:val="both"/>
        <w:ind w:left="420" w:right="20" w:firstLine="436"/>
        <w:spacing w:after="0" w:line="259" w:lineRule="auto"/>
        <w:tabs>
          <w:tab w:leader="none" w:pos="1158"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owed to any Person providing workers’ compensation, health, disability or other employee benefits or property, casualty or liability insurance, performance, bid, surety or appeal bonds, performance and completion guarantees and similar obligations, pursuant to reimbursement or indemnification obligations to such Person, in each case incurred in the ordinary course of business;</w:t>
      </w:r>
    </w:p>
    <w:p>
      <w:pPr>
        <w:ind w:left="1140" w:hanging="284"/>
        <w:spacing w:after="0"/>
        <w:tabs>
          <w:tab w:leader="none" w:pos="114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endorsements of negotiable or similar instruments for collection or deposit in the ordinary course of business;</w:t>
      </w:r>
    </w:p>
    <w:p>
      <w:pPr>
        <w:spacing w:after="0" w:line="33"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respect to any Debt permitted to be incurred pursuant to this </w:t>
      </w:r>
      <w:r>
        <w:rPr>
          <w:rFonts w:ascii="Times New Roman" w:cs="Times New Roman" w:eastAsia="Times New Roman" w:hAnsi="Times New Roman"/>
          <w:sz w:val="14"/>
          <w:szCs w:val="14"/>
          <w:b w:val="1"/>
          <w:bCs w:val="1"/>
          <w:i w:val="1"/>
          <w:iCs w:val="1"/>
          <w:color w:val="auto"/>
        </w:rPr>
        <w:t>Section 7.1</w:t>
      </w:r>
      <w:r>
        <w:rPr>
          <w:rFonts w:ascii="Times New Roman" w:cs="Times New Roman" w:eastAsia="Times New Roman" w:hAnsi="Times New Roman"/>
          <w:sz w:val="14"/>
          <w:szCs w:val="14"/>
          <w:color w:val="auto"/>
        </w:rPr>
        <w:t>, guaranties of such Debt or guaranties by any Loan Party or any of its Subsidiaries of such Debt;</w:t>
      </w:r>
    </w:p>
    <w:p>
      <w:pPr>
        <w:spacing w:after="0" w:line="41" w:lineRule="exact"/>
        <w:rPr>
          <w:rFonts w:ascii="Times New Roman" w:cs="Times New Roman" w:eastAsia="Times New Roman" w:hAnsi="Times New Roman"/>
          <w:sz w:val="14"/>
          <w:szCs w:val="14"/>
          <w:color w:val="auto"/>
        </w:rPr>
      </w:pPr>
    </w:p>
    <w:p>
      <w:pPr>
        <w:ind w:left="420" w:firstLine="436"/>
        <w:spacing w:after="0" w:line="265" w:lineRule="auto"/>
        <w:tabs>
          <w:tab w:leader="none" w:pos="1243"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incurred in the ordinary course of business owed to any Person providing property, casualty, liability, or other insurance to the Loan Parties, including to finance insurance premiums, so long as the amount of such Debt is not in excess of the amount of the unpaid cost of, and shall be incurred only to defer the cost of, such;</w:t>
      </w:r>
    </w:p>
    <w:p>
      <w:pPr>
        <w:ind w:left="1140" w:hanging="284"/>
        <w:spacing w:after="0"/>
        <w:tabs>
          <w:tab w:leader="none" w:pos="114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Hedge Obligations existing or arising under Hedge Agreements permitted by </w:t>
      </w:r>
      <w:r>
        <w:rPr>
          <w:rFonts w:ascii="Times New Roman" w:cs="Times New Roman" w:eastAsia="Times New Roman" w:hAnsi="Times New Roman"/>
          <w:sz w:val="14"/>
          <w:szCs w:val="14"/>
          <w:b w:val="1"/>
          <w:bCs w:val="1"/>
          <w:i w:val="1"/>
          <w:iCs w:val="1"/>
          <w:color w:val="auto"/>
        </w:rPr>
        <w:t>Section 7.17</w:t>
      </w:r>
      <w:r>
        <w:rPr>
          <w:rFonts w:ascii="Times New Roman" w:cs="Times New Roman" w:eastAsia="Times New Roman" w:hAnsi="Times New Roman"/>
          <w:sz w:val="14"/>
          <w:szCs w:val="14"/>
          <w:color w:val="auto"/>
        </w:rPr>
        <w:t>;</w:t>
      </w:r>
    </w:p>
    <w:p>
      <w:pPr>
        <w:spacing w:after="0" w:line="41" w:lineRule="exact"/>
        <w:rPr>
          <w:rFonts w:ascii="Times New Roman" w:cs="Times New Roman" w:eastAsia="Times New Roman" w:hAnsi="Times New Roman"/>
          <w:sz w:val="14"/>
          <w:szCs w:val="14"/>
          <w:color w:val="auto"/>
        </w:rPr>
      </w:pPr>
    </w:p>
    <w:p>
      <w:pPr>
        <w:ind w:left="1140" w:hanging="284"/>
        <w:spacing w:after="0"/>
        <w:tabs>
          <w:tab w:leader="none" w:pos="114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Subordinated Debt not to exceed $30,000,000 in the aggregate at any time outstanding and any Permitted Refinancing of such Debt; and</w:t>
      </w:r>
    </w:p>
    <w:p>
      <w:pPr>
        <w:spacing w:after="0" w:line="28"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not to exceed $10,000,000 in the aggregate at any time outstanding secured solely by Specified Excluded Real Property; and</w:t>
      </w:r>
    </w:p>
    <w:p>
      <w:pPr>
        <w:spacing w:after="0" w:line="37" w:lineRule="exact"/>
        <w:rPr>
          <w:rFonts w:ascii="Times New Roman" w:cs="Times New Roman" w:eastAsia="Times New Roman" w:hAnsi="Times New Roman"/>
          <w:sz w:val="14"/>
          <w:szCs w:val="14"/>
          <w:color w:val="auto"/>
        </w:rPr>
      </w:pPr>
    </w:p>
    <w:p>
      <w:pPr>
        <w:ind w:left="1140" w:hanging="284"/>
        <w:spacing w:after="0"/>
        <w:tabs>
          <w:tab w:leader="none" w:pos="114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Debt not to exceed $1,000,000 in the aggregate at any time outstanding.</w:t>
      </w:r>
    </w:p>
    <w:p>
      <w:pPr>
        <w:spacing w:after="0" w:line="35"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b w:val="1"/>
          <w:bCs w:val="1"/>
          <w:u w:val="single" w:color="auto"/>
          <w:color w:val="auto"/>
        </w:rPr>
        <w:t>Limitation on Liens</w:t>
      </w:r>
      <w:r>
        <w:rPr>
          <w:rFonts w:ascii="Times New Roman" w:cs="Times New Roman" w:eastAsia="Times New Roman" w:hAnsi="Times New Roman"/>
          <w:sz w:val="14"/>
          <w:szCs w:val="14"/>
          <w:color w:val="auto"/>
        </w:rPr>
        <w:t>. Each Loan Party shall not, and shall not permit any of its Subsidiaries to, incur, create, assume, or permit to exist any Lien upon any of its Property, assets, or revenues, whether now owned or hereafter acquired, except:</w:t>
      </w:r>
    </w:p>
    <w:p>
      <w:pPr>
        <w:spacing w:after="0" w:line="1" w:lineRule="exact"/>
        <w:rPr>
          <w:sz w:val="20"/>
          <w:szCs w:val="20"/>
          <w:color w:val="auto"/>
        </w:rPr>
      </w:pPr>
    </w:p>
    <w:p>
      <w:pPr>
        <w:ind w:left="1160" w:hanging="304"/>
        <w:spacing w:after="0"/>
        <w:tabs>
          <w:tab w:leader="none" w:pos="11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existing Liens disclosed on </w:t>
      </w:r>
      <w:r>
        <w:rPr>
          <w:rFonts w:ascii="Times New Roman" w:cs="Times New Roman" w:eastAsia="Times New Roman" w:hAnsi="Times New Roman"/>
          <w:sz w:val="14"/>
          <w:szCs w:val="14"/>
          <w:b w:val="1"/>
          <w:bCs w:val="1"/>
          <w:i w:val="1"/>
          <w:iCs w:val="1"/>
          <w:color w:val="auto"/>
        </w:rPr>
        <w:t>Schedule 7.2</w:t>
      </w:r>
      <w:r>
        <w:rPr>
          <w:rFonts w:ascii="Times New Roman" w:cs="Times New Roman" w:eastAsia="Times New Roman" w:hAnsi="Times New Roman"/>
          <w:sz w:val="14"/>
          <w:szCs w:val="14"/>
          <w:color w:val="auto"/>
        </w:rPr>
        <w:t>;</w:t>
      </w:r>
    </w:p>
    <w:p>
      <w:pPr>
        <w:spacing w:after="0" w:line="41"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the Secured Parties or Administrative Agent for the benefit of Secured Parties;</w:t>
      </w:r>
    </w:p>
    <w:p>
      <w:pPr>
        <w:spacing w:after="0" w:line="37" w:lineRule="exact"/>
        <w:rPr>
          <w:rFonts w:ascii="Times New Roman" w:cs="Times New Roman" w:eastAsia="Times New Roman" w:hAnsi="Times New Roman"/>
          <w:sz w:val="14"/>
          <w:szCs w:val="14"/>
          <w:color w:val="auto"/>
        </w:rPr>
      </w:pPr>
    </w:p>
    <w:p>
      <w:pPr>
        <w:jc w:val="both"/>
        <w:ind w:left="420" w:firstLine="436"/>
        <w:spacing w:after="0" w:line="259" w:lineRule="auto"/>
        <w:tabs>
          <w:tab w:leader="none" w:pos="1163"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encumbrances consisting of minor easements, zoning restrictions, or other restrictions on the use of real Property that do not (individually or in the aggregate) materially affect the value of the assets encumbered thereby or materially impair the ability of any Loan Party or its Subsidiaries to use such assets in their respective businesses, and none of which is violated in any material respect by existing or proposed structures or land use;</w:t>
      </w:r>
    </w:p>
    <w:p>
      <w:pPr>
        <w:ind w:left="420" w:firstLine="436"/>
        <w:spacing w:after="0" w:line="268" w:lineRule="auto"/>
        <w:tabs>
          <w:tab w:leader="none" w:pos="1168"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taxes, assessments, or other governmental charges which are not delinquent or which are being contested in good faith and for which adequate reserves in accordance with GAAP have been established and for which such contest operates to suspend the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1300"/>
          </w:cols>
          <w:pgMar w:left="300" w:top="287" w:right="29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enforcement of any foreclosure or levy on any Property of each Loan Party or any of its Subsidiary;</w:t>
      </w:r>
    </w:p>
    <w:p>
      <w:pPr>
        <w:spacing w:after="0" w:line="37" w:lineRule="exact"/>
        <w:rPr>
          <w:sz w:val="20"/>
          <w:szCs w:val="20"/>
          <w:color w:val="auto"/>
        </w:rPr>
      </w:pPr>
    </w:p>
    <w:p>
      <w:pPr>
        <w:jc w:val="both"/>
        <w:ind w:left="420" w:firstLine="436"/>
        <w:spacing w:after="0" w:line="259" w:lineRule="auto"/>
        <w:tabs>
          <w:tab w:leader="none" w:pos="1172"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of landlords, vendors, mechanics, materialmen, warehousemen, carriers, or other similar statutory Liens securing obligations incurred in the ordinary course of business that are not yet due or which are being contested in good faith and for which adequate reserves in accordance with GAAP have been established and for which such contest operates to suspend the enforcement of any foreclosure or levy on any Property of each Loan Party or any of its Subsidiaries;</w:t>
      </w:r>
    </w:p>
    <w:p>
      <w:pPr>
        <w:jc w:val="both"/>
        <w:ind w:left="420" w:firstLine="436"/>
        <w:spacing w:after="0" w:line="254" w:lineRule="auto"/>
        <w:tabs>
          <w:tab w:leader="none" w:pos="1145"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resulting from good faith deposits to secure payments of workmen’s compensation, unemployment insurance or other social security programs (other than Liens imposed by ERISA) or to secure the performance of tenders, statutory obligations, surety and appeal bonds, bids, contracts (other than for payment of Debt), or leases made in the ordinary course of business;</w:t>
      </w:r>
    </w:p>
    <w:p>
      <w:pPr>
        <w:spacing w:after="0" w:line="1"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normal and customary rights of setoff upon deposits in favor of depository institutions, and Liens of a collecting bank on payment items in the course of collection;</w:t>
      </w:r>
    </w:p>
    <w:p>
      <w:pPr>
        <w:spacing w:after="0" w:line="37" w:lineRule="exact"/>
        <w:rPr>
          <w:rFonts w:ascii="Times New Roman" w:cs="Times New Roman" w:eastAsia="Times New Roman" w:hAnsi="Times New Roman"/>
          <w:sz w:val="14"/>
          <w:szCs w:val="14"/>
          <w:color w:val="auto"/>
        </w:rPr>
      </w:pPr>
    </w:p>
    <w:p>
      <w:pPr>
        <w:ind w:left="420" w:firstLine="436"/>
        <w:spacing w:after="0" w:line="268" w:lineRule="auto"/>
        <w:tabs>
          <w:tab w:leader="none" w:pos="1175"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purported Liens evidenced by the filing of precautionary UCC financing statements relating solely to operating leases or consignments of personal property entered into in the ordinary course of business;</w:t>
      </w:r>
    </w:p>
    <w:p>
      <w:pPr>
        <w:ind w:left="420" w:firstLine="436"/>
        <w:spacing w:after="0" w:line="268" w:lineRule="auto"/>
        <w:tabs>
          <w:tab w:leader="none" w:pos="117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granted in the ordinary course of business on the unearned portion of insurance premiums securing the financing of insurance premiums to the extent the financing is permitted under </w:t>
      </w:r>
      <w:r>
        <w:rPr>
          <w:rFonts w:ascii="Times New Roman" w:cs="Times New Roman" w:eastAsia="Times New Roman" w:hAnsi="Times New Roman"/>
          <w:sz w:val="14"/>
          <w:szCs w:val="14"/>
          <w:b w:val="1"/>
          <w:bCs w:val="1"/>
          <w:i w:val="1"/>
          <w:iCs w:val="1"/>
          <w:color w:val="auto"/>
        </w:rPr>
        <w:t>Section 7.1(h)</w:t>
      </w:r>
      <w:r>
        <w:rPr>
          <w:rFonts w:ascii="Times New Roman" w:cs="Times New Roman" w:eastAsia="Times New Roman" w:hAnsi="Times New Roman"/>
          <w:sz w:val="14"/>
          <w:szCs w:val="14"/>
          <w:color w:val="auto"/>
        </w:rPr>
        <w:t>;</w:t>
      </w:r>
    </w:p>
    <w:p>
      <w:pPr>
        <w:ind w:left="420" w:firstLine="436"/>
        <w:spacing w:after="0" w:line="265" w:lineRule="auto"/>
        <w:tabs>
          <w:tab w:leader="none" w:pos="1186"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on specific Property to secure Purchase Money Debt used to acquire such Property and Liens securing Capitalized Lease Obligations with respect to specific leased Property, in each case to the extent permitted in </w:t>
      </w:r>
      <w:r>
        <w:rPr>
          <w:rFonts w:ascii="Times New Roman" w:cs="Times New Roman" w:eastAsia="Times New Roman" w:hAnsi="Times New Roman"/>
          <w:sz w:val="14"/>
          <w:szCs w:val="14"/>
          <w:b w:val="1"/>
          <w:bCs w:val="1"/>
          <w:i w:val="1"/>
          <w:iCs w:val="1"/>
          <w:color w:val="auto"/>
        </w:rPr>
        <w:t>Section 7.1(c)</w:t>
      </w:r>
      <w:r>
        <w:rPr>
          <w:rFonts w:ascii="Times New Roman" w:cs="Times New Roman" w:eastAsia="Times New Roman" w:hAnsi="Times New Roman"/>
          <w:sz w:val="14"/>
          <w:szCs w:val="14"/>
          <w:color w:val="auto"/>
        </w:rPr>
        <w:t>;</w:t>
      </w:r>
    </w:p>
    <w:p>
      <w:pPr>
        <w:ind w:left="1160" w:hanging="304"/>
        <w:spacing w:after="0"/>
        <w:tabs>
          <w:tab w:leader="none" w:pos="116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on Specified Excluded Real Property to secure Debt permitted under </w:t>
      </w:r>
      <w:r>
        <w:rPr>
          <w:rFonts w:ascii="Times New Roman" w:cs="Times New Roman" w:eastAsia="Times New Roman" w:hAnsi="Times New Roman"/>
          <w:sz w:val="14"/>
          <w:szCs w:val="14"/>
          <w:b w:val="1"/>
          <w:bCs w:val="1"/>
          <w:i w:val="1"/>
          <w:iCs w:val="1"/>
          <w:color w:val="auto"/>
        </w:rPr>
        <w:t>Section 7.1(k)</w:t>
      </w:r>
      <w:r>
        <w:rPr>
          <w:rFonts w:ascii="Times New Roman" w:cs="Times New Roman" w:eastAsia="Times New Roman" w:hAnsi="Times New Roman"/>
          <w:sz w:val="14"/>
          <w:szCs w:val="14"/>
          <w:color w:val="auto"/>
        </w:rPr>
        <w:t>; and</w:t>
      </w:r>
    </w:p>
    <w:p>
      <w:pPr>
        <w:spacing w:after="0" w:line="39" w:lineRule="exact"/>
        <w:rPr>
          <w:rFonts w:ascii="Times New Roman" w:cs="Times New Roman" w:eastAsia="Times New Roman" w:hAnsi="Times New Roman"/>
          <w:sz w:val="14"/>
          <w:szCs w:val="14"/>
          <w:color w:val="auto"/>
        </w:rPr>
      </w:pPr>
    </w:p>
    <w:p>
      <w:pPr>
        <w:ind w:left="420" w:right="20" w:firstLine="436"/>
        <w:spacing w:after="0" w:line="262" w:lineRule="auto"/>
        <w:tabs>
          <w:tab w:leader="none" w:pos="1177"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Liens securing Debt not to exceed $1,000,000 in the aggregate at any time outstanding;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Liens do not at any time encumber any assets included or eligible for inclusion in the Borrowing Base.</w:t>
      </w:r>
    </w:p>
    <w:p>
      <w:pPr>
        <w:ind w:left="420"/>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contained in this </w:t>
      </w:r>
      <w:r>
        <w:rPr>
          <w:rFonts w:ascii="Times New Roman" w:cs="Times New Roman" w:eastAsia="Times New Roman" w:hAnsi="Times New Roman"/>
          <w:sz w:val="14"/>
          <w:szCs w:val="14"/>
          <w:b w:val="1"/>
          <w:bCs w:val="1"/>
          <w:i w:val="1"/>
          <w:iCs w:val="1"/>
          <w:color w:val="auto"/>
        </w:rPr>
        <w:t>Section 7.2</w:t>
      </w:r>
      <w:r>
        <w:rPr>
          <w:rFonts w:ascii="Times New Roman" w:cs="Times New Roman" w:eastAsia="Times New Roman" w:hAnsi="Times New Roman"/>
          <w:sz w:val="14"/>
          <w:szCs w:val="14"/>
          <w:color w:val="auto"/>
        </w:rPr>
        <w:t xml:space="preserve"> shall in and of itself cause the obligations of the Loan Parties to the Secured Parties under or pursuant to the Loan Documents to be subordinated to any Lien permitted by this </w:t>
      </w:r>
      <w:r>
        <w:rPr>
          <w:rFonts w:ascii="Times New Roman" w:cs="Times New Roman" w:eastAsia="Times New Roman" w:hAnsi="Times New Roman"/>
          <w:sz w:val="14"/>
          <w:szCs w:val="14"/>
          <w:b w:val="1"/>
          <w:bCs w:val="1"/>
          <w:i w:val="1"/>
          <w:iCs w:val="1"/>
          <w:color w:val="auto"/>
        </w:rPr>
        <w:t>Section 7.2</w:t>
      </w:r>
      <w:r>
        <w:rPr>
          <w:rFonts w:ascii="Times New Roman" w:cs="Times New Roman" w:eastAsia="Times New Roman" w:hAnsi="Times New Roman"/>
          <w:sz w:val="14"/>
          <w:szCs w:val="14"/>
          <w:color w:val="auto"/>
        </w:rPr>
        <w:t xml:space="preserve"> or cause any Liens in favor of the Secured Parties to rank subordinate to any such permitted Liens.</w:t>
      </w:r>
    </w:p>
    <w:p>
      <w:pPr>
        <w:spacing w:after="0" w:line="1" w:lineRule="exact"/>
        <w:rPr>
          <w:sz w:val="20"/>
          <w:szCs w:val="20"/>
          <w:color w:val="auto"/>
        </w:rPr>
      </w:pPr>
    </w:p>
    <w:p>
      <w:pPr>
        <w:jc w:val="both"/>
        <w:ind w:firstLine="432"/>
        <w:spacing w:after="0" w:line="167" w:lineRule="exact"/>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b w:val="1"/>
          <w:bCs w:val="1"/>
          <w:u w:val="single" w:color="auto"/>
          <w:color w:val="auto"/>
        </w:rPr>
        <w:t>Mergers, Etc.</w:t>
      </w:r>
      <w:r>
        <w:rPr>
          <w:rFonts w:ascii="Times New Roman" w:cs="Times New Roman" w:eastAsia="Times New Roman" w:hAnsi="Times New Roman"/>
          <w:sz w:val="14"/>
          <w:szCs w:val="14"/>
          <w:color w:val="auto"/>
        </w:rPr>
        <w:t xml:space="preserve"> Each Loan Party shall not, and shall not permit any of its Subsidiaries to, directly or indirectly, become a party to a division, merger or consolidation, or purchase or otherwise acquire all or substantially all of the assets of any Person or any shares or other evidence of beneficial ownership of any Person, or wind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up, dissolve, or liquidate, except that (a) any Subsidiary of Holdings may merge or consolidate with any Borrower so long as such Borrower is the surviving entity, (b) any Subsidiary of Holdings may merge or consolidate with another Subsidiary so long as if such Subsidiary that is a Guarantor is involved in such merger or consolidation, such Guarantor is the surviving entity, (c) solely in connection with a Permitted Acquisition, any Person may merge or consolidate with or into any Loan Party provided such Loan Party shall be the surviving entity and (d) any Loan Party may acquire all or substantially all of the assets of any Person or any shares or other evidence of beneficial ownership of any Person pursuant to a Permitted Acquisition.</w:t>
      </w:r>
    </w:p>
    <w:p>
      <w:pPr>
        <w:spacing w:after="0" w:line="10"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 xml:space="preserve">Section 7.4 </w:t>
      </w:r>
      <w:r>
        <w:rPr>
          <w:rFonts w:ascii="Times New Roman" w:cs="Times New Roman" w:eastAsia="Times New Roman" w:hAnsi="Times New Roman"/>
          <w:sz w:val="14"/>
          <w:szCs w:val="14"/>
          <w:b w:val="1"/>
          <w:bCs w:val="1"/>
          <w:u w:val="single" w:color="auto"/>
          <w:color w:val="auto"/>
        </w:rPr>
        <w:t>Restricted Payments.</w:t>
      </w:r>
      <w:r>
        <w:rPr>
          <w:rFonts w:ascii="Times New Roman" w:cs="Times New Roman" w:eastAsia="Times New Roman" w:hAnsi="Times New Roman"/>
          <w:sz w:val="14"/>
          <w:szCs w:val="14"/>
          <w:color w:val="auto"/>
        </w:rPr>
        <w:t xml:space="preserve"> Each Loan Party shall not, nor shall it permit any of its Subsidiaries to, declare or make, or agree to pay or make, directly or indirectly, any Restricted Payment, except:</w:t>
      </w:r>
    </w:p>
    <w:p>
      <w:pPr>
        <w:ind w:left="1200" w:hanging="344"/>
        <w:spacing w:after="0"/>
        <w:tabs>
          <w:tab w:leader="none" w:pos="12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Loan Party may make Restricted Payments with respect to its Equity Interests payable solely in additional shares of its Equity Interests (other than Disqualified Equity</w:t>
      </w:r>
    </w:p>
    <w:p>
      <w:pPr>
        <w:spacing w:after="0" w:line="17"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1300"/>
          </w:cols>
          <w:pgMar w:left="300" w:top="287" w:right="29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ind w:left="1160" w:hanging="304"/>
        <w:spacing w:after="0"/>
        <w:tabs>
          <w:tab w:leader="none" w:pos="116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Subsidiaries may declare and pay dividends and other Restricted Payments to Holdings and any Subsidiary of Holdings that is a Loan Party; and</w:t>
      </w:r>
    </w:p>
    <w:p>
      <w:pPr>
        <w:spacing w:after="0" w:line="37" w:lineRule="exact"/>
        <w:rPr>
          <w:rFonts w:ascii="Times New Roman" w:cs="Times New Roman" w:eastAsia="Times New Roman" w:hAnsi="Times New Roman"/>
          <w:sz w:val="14"/>
          <w:szCs w:val="14"/>
          <w:color w:val="auto"/>
        </w:rPr>
      </w:pPr>
    </w:p>
    <w:p>
      <w:pPr>
        <w:ind w:left="1200" w:hanging="344"/>
        <w:spacing w:after="0"/>
        <w:tabs>
          <w:tab w:leader="none" w:pos="120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Parties and their Subsidiaries may make other Restricted Payments so long as the Payment Conditions have been satisfied at the time such Restricted Payment is</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made.</w:t>
      </w:r>
    </w:p>
    <w:p>
      <w:pPr>
        <w:spacing w:after="0" w:line="1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b w:val="1"/>
          <w:bCs w:val="1"/>
          <w:u w:val="single" w:color="auto"/>
          <w:color w:val="auto"/>
        </w:rPr>
        <w:t>Loans and Investments.</w:t>
      </w:r>
      <w:r>
        <w:rPr>
          <w:rFonts w:ascii="Times New Roman" w:cs="Times New Roman" w:eastAsia="Times New Roman" w:hAnsi="Times New Roman"/>
          <w:sz w:val="14"/>
          <w:szCs w:val="14"/>
          <w:color w:val="auto"/>
        </w:rPr>
        <w:t xml:space="preserve"> Each Loan Party shall not, and shall not permit any of its Subsidiaries to, directly or indirectly, make, hold or maintain, any advance, loan, extension of credit, or capital contribution to or investment in, or purchase any stock, bonds, notes, debentures, or other securities of, any Person, except:</w:t>
      </w:r>
    </w:p>
    <w:p>
      <w:pPr>
        <w:spacing w:after="0" w:line="1" w:lineRule="exact"/>
        <w:rPr>
          <w:sz w:val="20"/>
          <w:szCs w:val="20"/>
          <w:color w:val="auto"/>
        </w:rPr>
      </w:pPr>
    </w:p>
    <w:p>
      <w:pPr>
        <w:ind w:left="1160" w:hanging="304"/>
        <w:spacing w:after="0"/>
        <w:tabs>
          <w:tab w:leader="none" w:pos="116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existing investments described on </w:t>
      </w:r>
      <w:r>
        <w:rPr>
          <w:rFonts w:ascii="Times New Roman" w:cs="Times New Roman" w:eastAsia="Times New Roman" w:hAnsi="Times New Roman"/>
          <w:sz w:val="14"/>
          <w:szCs w:val="14"/>
          <w:b w:val="1"/>
          <w:bCs w:val="1"/>
          <w:i w:val="1"/>
          <w:iCs w:val="1"/>
          <w:color w:val="auto"/>
        </w:rPr>
        <w:t>Schedule 7.5</w:t>
      </w:r>
      <w:r>
        <w:rPr>
          <w:rFonts w:ascii="Times New Roman" w:cs="Times New Roman" w:eastAsia="Times New Roman" w:hAnsi="Times New Roman"/>
          <w:sz w:val="14"/>
          <w:szCs w:val="14"/>
          <w:color w:val="auto"/>
        </w:rPr>
        <w:t>;</w:t>
      </w:r>
    </w:p>
    <w:p>
      <w:pPr>
        <w:spacing w:after="0" w:line="32"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readily marketable direct obligations of the United States of America or any agency thereof with maturities of one (1) year or less from the date of acquisition;</w:t>
      </w:r>
    </w:p>
    <w:p>
      <w:pPr>
        <w:spacing w:after="0" w:line="37" w:lineRule="exact"/>
        <w:rPr>
          <w:rFonts w:ascii="Times New Roman" w:cs="Times New Roman" w:eastAsia="Times New Roman" w:hAnsi="Times New Roman"/>
          <w:sz w:val="14"/>
          <w:szCs w:val="14"/>
          <w:color w:val="auto"/>
        </w:rPr>
      </w:pPr>
    </w:p>
    <w:p>
      <w:pPr>
        <w:ind w:left="420" w:firstLine="436"/>
        <w:spacing w:after="0" w:line="268" w:lineRule="auto"/>
        <w:tabs>
          <w:tab w:leader="none" w:pos="1157"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fully insured certificates of deposit with maturities of one (1) year or less from the date of acquisition issued by either (i) any commercial bank operating in the United States of America having capital and surplus in excess of $50,000,000 or (ii) any Lender;</w:t>
      </w:r>
    </w:p>
    <w:p>
      <w:pPr>
        <w:ind w:left="1200" w:hanging="344"/>
        <w:spacing w:after="0"/>
        <w:tabs>
          <w:tab w:leader="none" w:pos="120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paper of a domestic issuer if at the time of purchase such paper is rated in one (1) of the two (2) highest rating categories of Standard and Poor’s Corporation or</w:t>
      </w:r>
    </w:p>
    <w:p>
      <w:pPr>
        <w:spacing w:after="0" w:line="17"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Moody’s;</w:t>
      </w:r>
    </w:p>
    <w:p>
      <w:pPr>
        <w:spacing w:after="0" w:line="21" w:lineRule="exact"/>
        <w:rPr>
          <w:rFonts w:ascii="Times New Roman" w:cs="Times New Roman" w:eastAsia="Times New Roman" w:hAnsi="Times New Roman"/>
          <w:sz w:val="14"/>
          <w:szCs w:val="14"/>
          <w:color w:val="auto"/>
        </w:rPr>
      </w:pPr>
    </w:p>
    <w:p>
      <w:pPr>
        <w:ind w:left="420" w:right="20" w:firstLine="436"/>
        <w:spacing w:after="0" w:line="268" w:lineRule="auto"/>
        <w:tabs>
          <w:tab w:leader="none" w:pos="1179"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in the ordinary course of business consistent with past practices in the Rabbi Trust in an aggregate amount not to exceed $750,000 in any fiscal year and solely for purposes of funding the Loan Parties’ nonqualified deferred compensation plan for the benefit of the employees of the Loan Parties;</w:t>
      </w:r>
    </w:p>
    <w:p>
      <w:pPr>
        <w:ind w:left="1140" w:hanging="284"/>
        <w:spacing w:after="0"/>
        <w:tabs>
          <w:tab w:leader="none" w:pos="114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by a Borrower or a Guarantor in another Borrower or Guarantor;</w:t>
      </w:r>
    </w:p>
    <w:p>
      <w:pPr>
        <w:spacing w:after="0" w:line="33"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investments consisting of Hedge Agreements permitted under </w:t>
      </w:r>
      <w:r>
        <w:rPr>
          <w:rFonts w:ascii="Times New Roman" w:cs="Times New Roman" w:eastAsia="Times New Roman" w:hAnsi="Times New Roman"/>
          <w:sz w:val="14"/>
          <w:szCs w:val="14"/>
          <w:b w:val="1"/>
          <w:bCs w:val="1"/>
          <w:i w:val="1"/>
          <w:iCs w:val="1"/>
          <w:color w:val="auto"/>
        </w:rPr>
        <w:t>Section 7.17</w:t>
      </w:r>
      <w:r>
        <w:rPr>
          <w:rFonts w:ascii="Times New Roman" w:cs="Times New Roman" w:eastAsia="Times New Roman" w:hAnsi="Times New Roman"/>
          <w:sz w:val="14"/>
          <w:szCs w:val="14"/>
          <w:color w:val="auto"/>
        </w:rPr>
        <w:t>;</w:t>
      </w:r>
    </w:p>
    <w:p>
      <w:pPr>
        <w:spacing w:after="0" w:line="41" w:lineRule="exact"/>
        <w:rPr>
          <w:rFonts w:ascii="Times New Roman" w:cs="Times New Roman" w:eastAsia="Times New Roman" w:hAnsi="Times New Roman"/>
          <w:sz w:val="14"/>
          <w:szCs w:val="14"/>
          <w:color w:val="auto"/>
        </w:rPr>
      </w:pPr>
    </w:p>
    <w:p>
      <w:pPr>
        <w:ind w:left="1160" w:hanging="304"/>
        <w:spacing w:after="0"/>
        <w:tabs>
          <w:tab w:leader="none" w:pos="116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or extensions of credit in the form of accounts receivable incurred and trade credit extended in the ordinary course of business;</w:t>
      </w:r>
    </w:p>
    <w:p>
      <w:pPr>
        <w:spacing w:after="0" w:line="37" w:lineRule="exact"/>
        <w:rPr>
          <w:rFonts w:ascii="Times New Roman" w:cs="Times New Roman" w:eastAsia="Times New Roman" w:hAnsi="Times New Roman"/>
          <w:sz w:val="14"/>
          <w:szCs w:val="14"/>
          <w:color w:val="auto"/>
        </w:rPr>
      </w:pPr>
    </w:p>
    <w:p>
      <w:pPr>
        <w:jc w:val="both"/>
        <w:ind w:left="420" w:firstLine="436"/>
        <w:spacing w:after="0" w:line="254" w:lineRule="auto"/>
        <w:tabs>
          <w:tab w:leader="none" w:pos="1154"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securities of account debtors received pursuant to any settlement, restructuring, plan of reorganization or similar arrangement in connection with a foreclosure, bankruptcy workout or otherwise with respect to such account debtors, or upon the foreclosure or enforcement of any Lien on such securities arising in the ordinary course of business in favor of a Loan Party or its Subsidiaries;</w:t>
      </w:r>
    </w:p>
    <w:p>
      <w:pPr>
        <w:spacing w:after="0" w:line="1" w:lineRule="exact"/>
        <w:rPr>
          <w:rFonts w:ascii="Times New Roman" w:cs="Times New Roman" w:eastAsia="Times New Roman" w:hAnsi="Times New Roman"/>
          <w:sz w:val="14"/>
          <w:szCs w:val="14"/>
          <w:color w:val="auto"/>
        </w:rPr>
      </w:pPr>
    </w:p>
    <w:p>
      <w:pPr>
        <w:ind w:left="420" w:right="20" w:firstLine="436"/>
        <w:spacing w:after="0" w:line="268" w:lineRule="auto"/>
        <w:tabs>
          <w:tab w:leader="none" w:pos="1172"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or advances made by a Loan Party to its employees for travel and entertainment expenses, relocation costs and similar purposes up to a maximum of $100,000 in the aggregate at any one time outstanding or, on a non-cash basis, for the purchase of Equity Interests in any Loan Party or any direct or indirect parent thereof;</w:t>
      </w:r>
    </w:p>
    <w:p>
      <w:pPr>
        <w:ind w:left="420" w:firstLine="436"/>
        <w:spacing w:after="0" w:line="268" w:lineRule="auto"/>
        <w:tabs>
          <w:tab w:leader="none" w:pos="1188"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investments so long as (i) no Event of Default shall have occurred and be continuing at the time of making such investment and immediately after giving effect thereto and (ii) the aggregate amount of all such investments under this </w:t>
      </w:r>
      <w:r>
        <w:rPr>
          <w:rFonts w:ascii="Times New Roman" w:cs="Times New Roman" w:eastAsia="Times New Roman" w:hAnsi="Times New Roman"/>
          <w:sz w:val="14"/>
          <w:szCs w:val="14"/>
          <w:b w:val="1"/>
          <w:bCs w:val="1"/>
          <w:i w:val="1"/>
          <w:iCs w:val="1"/>
          <w:color w:val="auto"/>
        </w:rPr>
        <w:t>clause (k)</w:t>
      </w:r>
      <w:r>
        <w:rPr>
          <w:rFonts w:ascii="Times New Roman" w:cs="Times New Roman" w:eastAsia="Times New Roman" w:hAnsi="Times New Roman"/>
          <w:sz w:val="14"/>
          <w:szCs w:val="14"/>
          <w:color w:val="auto"/>
        </w:rPr>
        <w:t xml:space="preserve"> shall not exceed $5,000,000 at any time;</w:t>
      </w:r>
    </w:p>
    <w:p>
      <w:pPr>
        <w:ind w:left="1140" w:hanging="284"/>
        <w:spacing w:after="0"/>
        <w:tabs>
          <w:tab w:leader="none" w:pos="114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consisting of Permitted Acquisitions; and</w:t>
      </w:r>
    </w:p>
    <w:p>
      <w:pPr>
        <w:spacing w:after="0" w:line="37" w:lineRule="exact"/>
        <w:rPr>
          <w:rFonts w:ascii="Times New Roman" w:cs="Times New Roman" w:eastAsia="Times New Roman" w:hAnsi="Times New Roman"/>
          <w:sz w:val="14"/>
          <w:szCs w:val="14"/>
          <w:color w:val="auto"/>
        </w:rPr>
      </w:pPr>
    </w:p>
    <w:p>
      <w:pPr>
        <w:jc w:val="both"/>
        <w:ind w:left="420" w:firstLine="436"/>
        <w:spacing w:after="0" w:line="251" w:lineRule="auto"/>
        <w:tabs>
          <w:tab w:leader="none" w:pos="1229"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Investments held by a Loan Party or its Subsidiaries acquired after the Fifth Amendment Effective Date pursuant to a Permitted Acquisition or of a corporation or company merged into a Loan Party or its Subsidiaries in accordance with </w:t>
      </w:r>
      <w:r>
        <w:rPr>
          <w:rFonts w:ascii="Times New Roman" w:cs="Times New Roman" w:eastAsia="Times New Roman" w:hAnsi="Times New Roman"/>
          <w:sz w:val="14"/>
          <w:szCs w:val="14"/>
          <w:b w:val="1"/>
          <w:bCs w:val="1"/>
          <w:i w:val="1"/>
          <w:iCs w:val="1"/>
          <w:color w:val="auto"/>
        </w:rPr>
        <w:t>Section 7.03</w:t>
      </w:r>
      <w:r>
        <w:rPr>
          <w:rFonts w:ascii="Times New Roman" w:cs="Times New Roman" w:eastAsia="Times New Roman" w:hAnsi="Times New Roman"/>
          <w:sz w:val="14"/>
          <w:szCs w:val="14"/>
          <w:color w:val="auto"/>
        </w:rPr>
        <w:t xml:space="preserve"> hereof after the Fifth Amendment Effective Date to the extent that such Investments were not made in contemplation of or in connection with such acquisition, merger, amalgamation or consolidation and were in existence on the date of such acquisition, merger, amalgamation or consolidation.</w:t>
      </w:r>
    </w:p>
    <w:p>
      <w:pPr>
        <w:spacing w:after="0" w:line="168"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7.6</w:t>
        <w:tab/>
        <w:t>[</w:t>
      </w:r>
      <w:r>
        <w:rPr>
          <w:rFonts w:ascii="Times New Roman" w:cs="Times New Roman" w:eastAsia="Times New Roman" w:hAnsi="Times New Roman"/>
          <w:sz w:val="14"/>
          <w:szCs w:val="14"/>
          <w:b w:val="1"/>
          <w:bCs w:val="1"/>
          <w:u w:val="single" w:color="auto"/>
          <w:color w:val="auto"/>
        </w:rPr>
        <w:t>Reserved]</w:t>
      </w:r>
      <w:r>
        <w:rPr>
          <w:rFonts w:ascii="Times New Roman" w:cs="Times New Roman" w:eastAsia="Times New Roman" w:hAnsi="Times New Roman"/>
          <w:sz w:val="14"/>
          <w:szCs w:val="14"/>
          <w:color w:val="auto"/>
        </w:rPr>
        <w:t>.</w:t>
      </w:r>
    </w:p>
    <w:p>
      <w:pPr>
        <w:spacing w:after="0" w:line="35" w:lineRule="exact"/>
        <w:rPr>
          <w:sz w:val="20"/>
          <w:szCs w:val="20"/>
          <w:color w:val="auto"/>
        </w:rPr>
      </w:pPr>
    </w:p>
    <w:p>
      <w:pPr>
        <w:ind w:firstLine="432"/>
        <w:spacing w:after="0" w:line="288" w:lineRule="auto"/>
        <w:rPr>
          <w:sz w:val="20"/>
          <w:szCs w:val="20"/>
          <w:color w:val="auto"/>
        </w:rPr>
      </w:pPr>
      <w:r>
        <w:rPr>
          <w:rFonts w:ascii="Times New Roman" w:cs="Times New Roman" w:eastAsia="Times New Roman" w:hAnsi="Times New Roman"/>
          <w:sz w:val="14"/>
          <w:szCs w:val="14"/>
          <w:color w:val="auto"/>
        </w:rPr>
        <w:t xml:space="preserve">Section 7.7 </w:t>
      </w:r>
      <w:r>
        <w:rPr>
          <w:rFonts w:ascii="Times New Roman" w:cs="Times New Roman" w:eastAsia="Times New Roman" w:hAnsi="Times New Roman"/>
          <w:sz w:val="14"/>
          <w:szCs w:val="14"/>
          <w:b w:val="1"/>
          <w:bCs w:val="1"/>
          <w:u w:val="single" w:color="auto"/>
          <w:color w:val="auto"/>
        </w:rPr>
        <w:t>Transactions With Affiliates.</w:t>
      </w:r>
      <w:r>
        <w:rPr>
          <w:rFonts w:ascii="Times New Roman" w:cs="Times New Roman" w:eastAsia="Times New Roman" w:hAnsi="Times New Roman"/>
          <w:sz w:val="14"/>
          <w:szCs w:val="14"/>
          <w:color w:val="auto"/>
        </w:rPr>
        <w:t xml:space="preserve"> Except with respect to the making of Restricted Payments permitted by </w:t>
      </w:r>
      <w:r>
        <w:rPr>
          <w:rFonts w:ascii="Times New Roman" w:cs="Times New Roman" w:eastAsia="Times New Roman" w:hAnsi="Times New Roman"/>
          <w:sz w:val="14"/>
          <w:szCs w:val="14"/>
          <w:b w:val="1"/>
          <w:bCs w:val="1"/>
          <w:i w:val="1"/>
          <w:iCs w:val="1"/>
          <w:color w:val="auto"/>
        </w:rPr>
        <w:t>Section 7.4</w:t>
      </w:r>
      <w:r>
        <w:rPr>
          <w:rFonts w:ascii="Times New Roman" w:cs="Times New Roman" w:eastAsia="Times New Roman" w:hAnsi="Times New Roman"/>
          <w:sz w:val="14"/>
          <w:szCs w:val="14"/>
          <w:color w:val="auto"/>
        </w:rPr>
        <w:t>, Holdings shall not, and shall not permit any of its Subsidiaries to, directly or indirectly, enter into any transaction, including, without limitation, the purchase, sale, or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1300"/>
          </w:cols>
          <w:pgMar w:left="300" w:top="287" w:right="299" w:bottom="1440" w:gutter="0" w:footer="0" w:header="0"/>
        </w:sectPr>
      </w:pPr>
    </w:p>
    <w:bookmarkStart w:id="178" w:name="page179"/>
    <w:bookmarkEnd w:id="178"/>
    <w:p>
      <w:pPr>
        <w:ind w:left="1068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exchange of Property, the rendering of any service or the payment of any management, advisory or similar fees, with any Affiliate of Holdings or such Subsidiary, except [in the ordinary course of and pursuant to the reasonable requirements of Holdings’ or such Subsidiary’s business, (a) pursuant to a transaction which is otherwise expressly permitted under this Agreement, and upon fair and reasonable terms no less favorable to Holdings or such Subsidiary than would be obtained in a comparable arm’s-length transaction with a Person not an Affiliate of Holdings or such Subsidiary or (b) pursuant to the Subordinated Debt Documents.]</w:t>
      </w:r>
    </w:p>
    <w:p>
      <w:pPr>
        <w:jc w:val="both"/>
        <w:ind w:firstLine="432"/>
        <w:spacing w:after="0" w:line="245" w:lineRule="auto"/>
        <w:rPr>
          <w:sz w:val="20"/>
          <w:szCs w:val="20"/>
          <w:color w:val="auto"/>
        </w:rPr>
      </w:pPr>
      <w:r>
        <w:rPr>
          <w:rFonts w:ascii="Times New Roman" w:cs="Times New Roman" w:eastAsia="Times New Roman" w:hAnsi="Times New Roman"/>
          <w:sz w:val="14"/>
          <w:szCs w:val="14"/>
          <w:color w:val="auto"/>
        </w:rPr>
        <w:t xml:space="preserve">Section 7.8 </w:t>
      </w:r>
      <w:r>
        <w:rPr>
          <w:rFonts w:ascii="Times New Roman" w:cs="Times New Roman" w:eastAsia="Times New Roman" w:hAnsi="Times New Roman"/>
          <w:sz w:val="14"/>
          <w:szCs w:val="14"/>
          <w:b w:val="1"/>
          <w:bCs w:val="1"/>
          <w:u w:val="single" w:color="auto"/>
          <w:color w:val="auto"/>
        </w:rPr>
        <w:t>Disposition of Assets.</w:t>
      </w:r>
      <w:r>
        <w:rPr>
          <w:rFonts w:ascii="Times New Roman" w:cs="Times New Roman" w:eastAsia="Times New Roman" w:hAnsi="Times New Roman"/>
          <w:sz w:val="14"/>
          <w:szCs w:val="14"/>
          <w:color w:val="auto"/>
        </w:rPr>
        <w:t xml:space="preserve"> Each Loan Party shall not, and shall not permit any of its Subsidiaries to, directly or indirectly make any Disposition, except (a) Dispositions of Inventory in the ordinary course of business, (b) Dispositions, for fair value, of worn-out, surplus and obsolete Equipment not necessary or useful to the conduct of business, (c) Dispositions of Equity Interests permitted by </w:t>
      </w:r>
      <w:r>
        <w:rPr>
          <w:rFonts w:ascii="Times New Roman" w:cs="Times New Roman" w:eastAsia="Times New Roman" w:hAnsi="Times New Roman"/>
          <w:sz w:val="14"/>
          <w:szCs w:val="14"/>
          <w:b w:val="1"/>
          <w:bCs w:val="1"/>
          <w:i w:val="1"/>
          <w:iCs w:val="1"/>
          <w:color w:val="auto"/>
        </w:rPr>
        <w:t>Section 7.6</w:t>
      </w:r>
      <w:r>
        <w:rPr>
          <w:rFonts w:ascii="Times New Roman" w:cs="Times New Roman" w:eastAsia="Times New Roman" w:hAnsi="Times New Roman"/>
          <w:sz w:val="14"/>
          <w:szCs w:val="14"/>
          <w:color w:val="auto"/>
        </w:rPr>
        <w:t xml:space="preserve">, (d) Dispositions of Property to any Loan Party or any Subsidiary, provided that any such Disposition involving a Subsidiary that is not a Loan Party shall be made in compliance with </w:t>
      </w:r>
      <w:r>
        <w:rPr>
          <w:rFonts w:ascii="Times New Roman" w:cs="Times New Roman" w:eastAsia="Times New Roman" w:hAnsi="Times New Roman"/>
          <w:sz w:val="14"/>
          <w:szCs w:val="14"/>
          <w:b w:val="1"/>
          <w:bCs w:val="1"/>
          <w:i w:val="1"/>
          <w:iCs w:val="1"/>
          <w:color w:val="auto"/>
        </w:rPr>
        <w:t>Sections 7.5 or 7.6</w:t>
      </w:r>
      <w:r>
        <w:rPr>
          <w:rFonts w:ascii="Times New Roman" w:cs="Times New Roman" w:eastAsia="Times New Roman" w:hAnsi="Times New Roman"/>
          <w:sz w:val="14"/>
          <w:szCs w:val="14"/>
          <w:color w:val="auto"/>
        </w:rPr>
        <w:t>, (e) the unwinding of any Hedge Agreement, (f) the Specified Facility Dispositions; provided that (i) no Event of Default shall have occurred and be continuing at the time of any such Disposition and immediately after giving effect thereto, (ii) each such Disposition shall be for fair market value as reasonably determined by Holdings in good faith, (iii) the applicable Loan Party shall receive not less than 75.0% of such consideration in the form of cash or cash equivalents and (iv) each such Disposition occurs on or prior to June 30, 2026; or (g) other Dispositions (other than with respect to any Accounts, Inventory or other Property included in the Borrowing Base at any time) not to exceed $5,000,000 in the aggregate in any fiscal year.</w:t>
      </w:r>
    </w:p>
    <w:p>
      <w:pPr>
        <w:spacing w:after="0" w:line="173"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 xml:space="preserve">Section 7.9 </w:t>
      </w:r>
      <w:r>
        <w:rPr>
          <w:rFonts w:ascii="Times New Roman" w:cs="Times New Roman" w:eastAsia="Times New Roman" w:hAnsi="Times New Roman"/>
          <w:sz w:val="14"/>
          <w:szCs w:val="14"/>
          <w:b w:val="1"/>
          <w:bCs w:val="1"/>
          <w:u w:val="single" w:color="auto"/>
          <w:color w:val="auto"/>
        </w:rPr>
        <w:t>Sale and Leaseback</w:t>
      </w:r>
      <w:r>
        <w:rPr>
          <w:rFonts w:ascii="Times New Roman" w:cs="Times New Roman" w:eastAsia="Times New Roman" w:hAnsi="Times New Roman"/>
          <w:sz w:val="14"/>
          <w:szCs w:val="14"/>
          <w:color w:val="auto"/>
        </w:rPr>
        <w:t>. Each Loan Party shall not, and shall not permit any of its Subsidiaries to, directly or indirectly, enter into any arrangement with any Person pursuant to which it leases from such Person real or personal Property that has been or is to be sold or transferred, directly or indirectly, by it to such Person.</w:t>
      </w:r>
    </w:p>
    <w:p>
      <w:pPr>
        <w:jc w:val="both"/>
        <w:ind w:firstLine="432"/>
        <w:spacing w:after="0" w:line="255" w:lineRule="auto"/>
        <w:rPr>
          <w:sz w:val="20"/>
          <w:szCs w:val="20"/>
          <w:color w:val="auto"/>
        </w:rPr>
      </w:pPr>
      <w:r>
        <w:rPr>
          <w:rFonts w:ascii="Times New Roman" w:cs="Times New Roman" w:eastAsia="Times New Roman" w:hAnsi="Times New Roman"/>
          <w:sz w:val="14"/>
          <w:szCs w:val="14"/>
          <w:color w:val="auto"/>
        </w:rPr>
        <w:t xml:space="preserve">Section 7.10 </w:t>
      </w:r>
      <w:r>
        <w:rPr>
          <w:rFonts w:ascii="Times New Roman" w:cs="Times New Roman" w:eastAsia="Times New Roman" w:hAnsi="Times New Roman"/>
          <w:sz w:val="14"/>
          <w:szCs w:val="14"/>
          <w:b w:val="1"/>
          <w:bCs w:val="1"/>
          <w:u w:val="single" w:color="auto"/>
          <w:color w:val="auto"/>
        </w:rPr>
        <w:t>Prepayment of Debt</w:t>
      </w:r>
      <w:r>
        <w:rPr>
          <w:rFonts w:ascii="Times New Roman" w:cs="Times New Roman" w:eastAsia="Times New Roman" w:hAnsi="Times New Roman"/>
          <w:sz w:val="14"/>
          <w:szCs w:val="14"/>
          <w:color w:val="auto"/>
        </w:rPr>
        <w:t xml:space="preserve">. Each Loan Party shall not, and shall not permit any of its Subsidiaries to, directly or indirectly, make any optional or voluntary payment, prepayment, repurchase or redemption of any Debt, except the Obligations under the Loan Documents and in connection with any Permitted Refinancing of Debt to the extent such Permitted Refinancing is permitted pursuant to </w:t>
      </w:r>
      <w:r>
        <w:rPr>
          <w:rFonts w:ascii="Times New Roman" w:cs="Times New Roman" w:eastAsia="Times New Roman" w:hAnsi="Times New Roman"/>
          <w:sz w:val="14"/>
          <w:szCs w:val="14"/>
          <w:b w:val="1"/>
          <w:bCs w:val="1"/>
          <w:i w:val="1"/>
          <w:iCs w:val="1"/>
          <w:color w:val="auto"/>
        </w:rPr>
        <w:t>Section 7.1</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4"/>
          <w:szCs w:val="14"/>
          <w:color w:val="auto"/>
        </w:rPr>
        <w:t xml:space="preserve">Section 7.11 </w:t>
      </w:r>
      <w:r>
        <w:rPr>
          <w:rFonts w:ascii="Times New Roman" w:cs="Times New Roman" w:eastAsia="Times New Roman" w:hAnsi="Times New Roman"/>
          <w:sz w:val="14"/>
          <w:szCs w:val="14"/>
          <w:b w:val="1"/>
          <w:bCs w:val="1"/>
          <w:u w:val="single" w:color="auto"/>
          <w:color w:val="auto"/>
        </w:rPr>
        <w:t>Nature of Business.</w:t>
      </w:r>
      <w:r>
        <w:rPr>
          <w:rFonts w:ascii="Times New Roman" w:cs="Times New Roman" w:eastAsia="Times New Roman" w:hAnsi="Times New Roman"/>
          <w:sz w:val="14"/>
          <w:szCs w:val="14"/>
          <w:color w:val="auto"/>
        </w:rPr>
        <w:t xml:space="preserve"> Each Loan Party shall not, and shall not permit any of its Subsidiaries to, engage in any business other than the businesses in which they are engaged as of the date hereof or Permitted Other Business Lines, or businesses directly related thereto. Each Loan Party shall not, and shall not permit any of its Subsidiaries to, make any material change in its credit collection policies if such change would materially impair the collectability of any Account, nor will it rescind, cancel or modify any Account except in the ordinary course of business.</w:t>
      </w:r>
    </w:p>
    <w:p>
      <w:pPr>
        <w:spacing w:after="0" w:line="2"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4"/>
          <w:szCs w:val="14"/>
          <w:color w:val="auto"/>
        </w:rPr>
        <w:t xml:space="preserve">Section 7.12 </w:t>
      </w:r>
      <w:r>
        <w:rPr>
          <w:rFonts w:ascii="Times New Roman" w:cs="Times New Roman" w:eastAsia="Times New Roman" w:hAnsi="Times New Roman"/>
          <w:sz w:val="14"/>
          <w:szCs w:val="14"/>
          <w:b w:val="1"/>
          <w:bCs w:val="1"/>
          <w:u w:val="single" w:color="auto"/>
          <w:color w:val="auto"/>
        </w:rPr>
        <w:t>Environmental Protection.</w:t>
      </w:r>
      <w:r>
        <w:rPr>
          <w:rFonts w:ascii="Times New Roman" w:cs="Times New Roman" w:eastAsia="Times New Roman" w:hAnsi="Times New Roman"/>
          <w:sz w:val="14"/>
          <w:szCs w:val="14"/>
          <w:color w:val="auto"/>
        </w:rPr>
        <w:t xml:space="preserve"> Each Loan Party shall not, and shall not permit any of its Subsidiaries to, directly or indirectly (a) use (or permit any tenant to use) any of their respective Properties or assets for the handling, processing, storage, transportation, or disposal of any Hazardous Material in violation of, or in a manner or to a location that could give rise to liability under, any applicable Environmental Laws, (b) generate any Hazardous Material in violation of any applicable Environmental Laws, (c) conduct any activity that is likely to cause a Release or threatened Release of any Hazardous Material in violation of any applicable Environmental Laws, or (d) otherwise conduct any activity or use any of their respective Properties or assets in any manner that is likely to violate any Environmental Law or create any Environmental Liabilities for which any Loan Party or any of its Subsidiaries would be responsible.</w:t>
      </w:r>
    </w:p>
    <w:p>
      <w:pPr>
        <w:spacing w:after="0" w:line="1"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4"/>
          <w:szCs w:val="14"/>
          <w:color w:val="auto"/>
        </w:rPr>
        <w:t xml:space="preserve">Section 7.13 </w:t>
      </w:r>
      <w:r>
        <w:rPr>
          <w:rFonts w:ascii="Times New Roman" w:cs="Times New Roman" w:eastAsia="Times New Roman" w:hAnsi="Times New Roman"/>
          <w:sz w:val="14"/>
          <w:szCs w:val="14"/>
          <w:b w:val="1"/>
          <w:bCs w:val="1"/>
          <w:u w:val="single" w:color="auto"/>
          <w:color w:val="auto"/>
        </w:rPr>
        <w:t>Accounting.</w:t>
      </w:r>
      <w:r>
        <w:rPr>
          <w:rFonts w:ascii="Times New Roman" w:cs="Times New Roman" w:eastAsia="Times New Roman" w:hAnsi="Times New Roman"/>
          <w:sz w:val="14"/>
          <w:szCs w:val="14"/>
          <w:color w:val="auto"/>
        </w:rPr>
        <w:t xml:space="preserve"> Each Loan Party shall not, and shall not permit any of its Subsidiaries to, change its fiscal year or make any change (a) in accounting treatment or reporting practices, except as required by GAAP and disclosed to Administrative Agent and Lenders, or (b) in tax reporting treatment, except as required by Law and disclosed to Administrative Agent and Lenders.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1300"/>
          </w:cols>
          <w:pgMar w:left="300" w:top="287" w:right="29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5" w:lineRule="exact"/>
        <w:rPr>
          <w:sz w:val="20"/>
          <w:szCs w:val="20"/>
          <w:color w:val="auto"/>
        </w:rPr>
      </w:pPr>
    </w:p>
    <w:p>
      <w:pPr>
        <w:jc w:val="both"/>
        <w:ind w:firstLine="432"/>
        <w:spacing w:after="0" w:line="248" w:lineRule="auto"/>
        <w:rPr>
          <w:sz w:val="20"/>
          <w:szCs w:val="20"/>
          <w:color w:val="auto"/>
        </w:rPr>
      </w:pPr>
      <w:r>
        <w:rPr>
          <w:rFonts w:ascii="Times New Roman" w:cs="Times New Roman" w:eastAsia="Times New Roman" w:hAnsi="Times New Roman"/>
          <w:sz w:val="14"/>
          <w:szCs w:val="14"/>
          <w:color w:val="auto"/>
        </w:rPr>
        <w:t xml:space="preserve">Section 7.14 </w:t>
      </w:r>
      <w:r>
        <w:rPr>
          <w:rFonts w:ascii="Times New Roman" w:cs="Times New Roman" w:eastAsia="Times New Roman" w:hAnsi="Times New Roman"/>
          <w:sz w:val="14"/>
          <w:szCs w:val="14"/>
          <w:b w:val="1"/>
          <w:bCs w:val="1"/>
          <w:u w:val="single" w:color="auto"/>
          <w:color w:val="auto"/>
        </w:rPr>
        <w:t>Burdensome Agreements.</w:t>
      </w:r>
      <w:r>
        <w:rPr>
          <w:rFonts w:ascii="Times New Roman" w:cs="Times New Roman" w:eastAsia="Times New Roman" w:hAnsi="Times New Roman"/>
          <w:sz w:val="14"/>
          <w:szCs w:val="14"/>
          <w:color w:val="auto"/>
        </w:rPr>
        <w:t xml:space="preserve"> Each Loan Party shall not, and shall not permit any of its Subsidiaries or any other Loan Party to, enter into or permit to exist any arrangement or agreement, other than pursuant to this Agreement or any other Loan Document, which (a) directly or indirectly prohibits Holdings, any of its Subsidiaries or any other Loan Party from creating or incurring a Lien on any of its Property, revenues, or assets, whether now owned or hereafter acquired, (b) directly or indirectly prohibits any of its Subsidiaries or any other Loan Party to make any payments, directly or indirectly, to any other Loan Party by way of dividends, distributions, advances, repayments of loans, repayments of expenses, accruals, or otherwise or (c) in any way would be contravened by such Person’s performance of its obligations hereunder or under the other Loan Documents;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w:t>
      </w:r>
      <w:r>
        <w:rPr>
          <w:rFonts w:ascii="Times New Roman" w:cs="Times New Roman" w:eastAsia="Times New Roman" w:hAnsi="Times New Roman"/>
          <w:sz w:val="14"/>
          <w:szCs w:val="14"/>
          <w:b w:val="1"/>
          <w:bCs w:val="1"/>
          <w:i w:val="1"/>
          <w:iCs w:val="1"/>
          <w:color w:val="auto"/>
        </w:rPr>
        <w:t>clause (a)</w:t>
      </w:r>
      <w:r>
        <w:rPr>
          <w:rFonts w:ascii="Times New Roman" w:cs="Times New Roman" w:eastAsia="Times New Roman" w:hAnsi="Times New Roman"/>
          <w:sz w:val="14"/>
          <w:szCs w:val="14"/>
          <w:color w:val="auto"/>
        </w:rPr>
        <w:t xml:space="preserve"> of the foregoing shall not apply to restrictions or conditions imposed by any agreement relating to secured Debt permitted by this Agreement if such restrictions or conditions apply only to the property or assets securing such Debt.</w:t>
      </w:r>
    </w:p>
    <w:p>
      <w:pPr>
        <w:spacing w:after="0" w:line="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7.15 </w:t>
      </w:r>
      <w:r>
        <w:rPr>
          <w:rFonts w:ascii="Times New Roman" w:cs="Times New Roman" w:eastAsia="Times New Roman" w:hAnsi="Times New Roman"/>
          <w:sz w:val="14"/>
          <w:szCs w:val="14"/>
          <w:b w:val="1"/>
          <w:bCs w:val="1"/>
          <w:u w:val="single" w:color="auto"/>
          <w:color w:val="auto"/>
        </w:rPr>
        <w:t>Subsidiaries.</w:t>
      </w:r>
      <w:r>
        <w:rPr>
          <w:rFonts w:ascii="Times New Roman" w:cs="Times New Roman" w:eastAsia="Times New Roman" w:hAnsi="Times New Roman"/>
          <w:sz w:val="14"/>
          <w:szCs w:val="14"/>
          <w:color w:val="auto"/>
        </w:rPr>
        <w:t xml:space="preserve"> Each Loan Party shall not, directly or indirectly, form or acquire any Subsidiary unless such Loan Party complies with the requirements of </w:t>
      </w:r>
      <w:r>
        <w:rPr>
          <w:rFonts w:ascii="Times New Roman" w:cs="Times New Roman" w:eastAsia="Times New Roman" w:hAnsi="Times New Roman"/>
          <w:sz w:val="14"/>
          <w:szCs w:val="14"/>
          <w:b w:val="1"/>
          <w:bCs w:val="1"/>
          <w:i w:val="1"/>
          <w:iCs w:val="1"/>
          <w:color w:val="auto"/>
        </w:rPr>
        <w:t>Section 6.13</w:t>
      </w:r>
      <w:r>
        <w:rPr>
          <w:rFonts w:ascii="Times New Roman" w:cs="Times New Roman" w:eastAsia="Times New Roman" w:hAnsi="Times New Roman"/>
          <w:sz w:val="14"/>
          <w:szCs w:val="14"/>
          <w:color w:val="auto"/>
        </w:rPr>
        <w:t>. The Loan Parties shall not form or acquire any Foreign Subsidiaries, except for Foreign Subsidiaries located in Canada. The Loan Parties shall promptly identify to Administrative Agent any Collateral previously included in the Borrowing Base that is moved to a subsidiary location outside of the United States and shall remove such Collateral from future Borrowing Base Reports. The Rabbi Trust shall not form or acquire any Subsidiaries.</w:t>
      </w:r>
    </w:p>
    <w:p>
      <w:pPr>
        <w:spacing w:after="0" w:line="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 xml:space="preserve">Section 7.16 </w:t>
      </w:r>
      <w:r>
        <w:rPr>
          <w:rFonts w:ascii="Times New Roman" w:cs="Times New Roman" w:eastAsia="Times New Roman" w:hAnsi="Times New Roman"/>
          <w:sz w:val="14"/>
          <w:szCs w:val="14"/>
          <w:b w:val="1"/>
          <w:bCs w:val="1"/>
          <w:u w:val="single" w:color="auto"/>
          <w:color w:val="auto"/>
        </w:rPr>
        <w:t>Amendments of Certain Documents.</w:t>
      </w:r>
      <w:r>
        <w:rPr>
          <w:rFonts w:ascii="Times New Roman" w:cs="Times New Roman" w:eastAsia="Times New Roman" w:hAnsi="Times New Roman"/>
          <w:sz w:val="14"/>
          <w:szCs w:val="14"/>
          <w:color w:val="auto"/>
        </w:rPr>
        <w:t xml:space="preserve"> Each Loan Party shall not, and shall not permit any of its Subsidiaries to, amend, restate, supplement or otherwise modify any of their respective Constituent Documents or the Subordinated Debt Documents, in each case, in a manner adverse to the interest of the Lenders.</w:t>
      </w: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 xml:space="preserve">Section 7.17 </w:t>
      </w:r>
      <w:r>
        <w:rPr>
          <w:rFonts w:ascii="Times New Roman" w:cs="Times New Roman" w:eastAsia="Times New Roman" w:hAnsi="Times New Roman"/>
          <w:sz w:val="14"/>
          <w:szCs w:val="14"/>
          <w:b w:val="1"/>
          <w:bCs w:val="1"/>
          <w:u w:val="single" w:color="auto"/>
          <w:color w:val="auto"/>
        </w:rPr>
        <w:t>Hedge Agreements.</w:t>
      </w:r>
      <w:r>
        <w:rPr>
          <w:rFonts w:ascii="Times New Roman" w:cs="Times New Roman" w:eastAsia="Times New Roman" w:hAnsi="Times New Roman"/>
          <w:sz w:val="14"/>
          <w:szCs w:val="14"/>
          <w:color w:val="auto"/>
        </w:rPr>
        <w:t xml:space="preserve"> Each Loan Party shall not, and shall not permit any of its Subsidiaries to, enter into any Hedge Agreement, except those that are entered into for non-speculative purposes and that are (a) Hedge Agreements entered into to hedge or mitigate risks to which such Loan Party or any Subsidiary thereof has actual exposure which have terms and conditions reasonably acceptable to Administrative Agent, and (b) other Hedge Agreements entered into in order to effectively cap, collar or exchange interest rates (from fixed to floating rates, from one floating rate to another floating rate or otherwise) with respect to any interest-bearing liability or investment, Debt of such Loan Party or any of its Subsidiaries limited to the principal amount of such interest-bearing liability or investment or Debt which have terms and conditions reasonably acceptable to Administrative Agent.</w:t>
      </w:r>
    </w:p>
    <w:p>
      <w:pPr>
        <w:spacing w:after="0" w:line="3" w:lineRule="exact"/>
        <w:rPr>
          <w:sz w:val="20"/>
          <w:szCs w:val="20"/>
          <w:color w:val="auto"/>
        </w:rPr>
      </w:pPr>
    </w:p>
    <w:p>
      <w:pPr>
        <w:jc w:val="both"/>
        <w:ind w:firstLine="432"/>
        <w:spacing w:after="0" w:line="168" w:lineRule="exact"/>
        <w:rPr>
          <w:sz w:val="20"/>
          <w:szCs w:val="20"/>
          <w:color w:val="auto"/>
        </w:rPr>
      </w:pPr>
      <w:r>
        <w:rPr>
          <w:rFonts w:ascii="Times New Roman" w:cs="Times New Roman" w:eastAsia="Times New Roman" w:hAnsi="Times New Roman"/>
          <w:sz w:val="14"/>
          <w:szCs w:val="14"/>
          <w:color w:val="auto"/>
        </w:rPr>
        <w:t xml:space="preserve">Section 7.18 </w:t>
      </w:r>
      <w:r>
        <w:rPr>
          <w:rFonts w:ascii="Times New Roman" w:cs="Times New Roman" w:eastAsia="Times New Roman" w:hAnsi="Times New Roman"/>
          <w:sz w:val="14"/>
          <w:szCs w:val="14"/>
          <w:b w:val="1"/>
          <w:bCs w:val="1"/>
          <w:u w:val="single" w:color="auto"/>
          <w:color w:val="auto"/>
        </w:rPr>
        <w:t>Anti-Corruption Laws; Sanctions; Anti-Terrorism Law.</w:t>
      </w:r>
      <w:r>
        <w:rPr>
          <w:rFonts w:ascii="Times New Roman" w:cs="Times New Roman" w:eastAsia="Times New Roman" w:hAnsi="Times New Roman"/>
          <w:sz w:val="14"/>
          <w:szCs w:val="14"/>
          <w:color w:val="auto"/>
        </w:rPr>
        <w:t xml:space="preserve"> Each Loan Party will not, directly or indirectly, use the proceeds of the Loans or Letters of Credit, or lend, contribute or otherwise make available such proceeds to any subsidiary, joint venture partner or other Person, (a) in furtherance of an offer, payment, promise to pay, or authorization of the payment or giving of money, or anything else of value, to any Person in violation of the FCPA or any other applicable Anti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Corruption Law, or (b) (i) to fund any activities or business of or with any Person, or in any country or territory, that, at the time of such funding, is, or whose government is, the subject of Sanctions, or (ii) in any other manner that would result in a violation of Sanctions by any Person (including any Person participating in the Loans or Letters of Credit, whether as Administrative Agent, Arranger, Lender, underwriter, advisor, investor, or otherwise).</w:t>
      </w:r>
    </w:p>
    <w:p>
      <w:pPr>
        <w:spacing w:after="0" w:line="10"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4"/>
          <w:szCs w:val="14"/>
          <w:color w:val="auto"/>
        </w:rPr>
        <w:t xml:space="preserve">Section 7.19 </w:t>
      </w:r>
      <w:r>
        <w:rPr>
          <w:rFonts w:ascii="Times New Roman" w:cs="Times New Roman" w:eastAsia="Times New Roman" w:hAnsi="Times New Roman"/>
          <w:sz w:val="14"/>
          <w:szCs w:val="14"/>
          <w:b w:val="1"/>
          <w:bCs w:val="1"/>
          <w:u w:val="single" w:color="auto"/>
          <w:color w:val="auto"/>
        </w:rPr>
        <w:t>Outbound Investment Rules.</w:t>
      </w:r>
      <w:r>
        <w:rPr>
          <w:rFonts w:ascii="Times New Roman" w:cs="Times New Roman" w:eastAsia="Times New Roman" w:hAnsi="Times New Roman"/>
          <w:sz w:val="14"/>
          <w:szCs w:val="14"/>
          <w:color w:val="auto"/>
        </w:rPr>
        <w:t xml:space="preserve"> No Loan Party will, and no Loan Party will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such Loan Party or Subsidiary were a U.S. Person or (iii) any other activity that would cause Administrative Agent or any Lender to be in violation of the Outbound Investment Rules or cause Administrative Agent or any Lender to be legally prohibited by the Outbound Investment Rules from performing under this Agreement or any other Loan Document.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1300"/>
          </w:cols>
          <w:pgMar w:left="300" w:top="287" w:right="29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8.</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FINANCIAL COVENANTS</w:t>
      </w:r>
    </w:p>
    <w:p>
      <w:pPr>
        <w:spacing w:after="0" w:line="15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4"/>
          <w:szCs w:val="14"/>
          <w:color w:val="auto"/>
        </w:rPr>
        <w:t>Each Loan Party covenants and agrees that, as long as the Obligations or any part thereof are outstanding or any Letter of Credit is outstanding or any Lender has any Commitment hereunder:</w:t>
      </w:r>
    </w:p>
    <w:p>
      <w:pPr>
        <w:spacing w:after="0" w:line="18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8.1 </w:t>
      </w:r>
      <w:r>
        <w:rPr>
          <w:rFonts w:ascii="Times New Roman" w:cs="Times New Roman" w:eastAsia="Times New Roman" w:hAnsi="Times New Roman"/>
          <w:sz w:val="14"/>
          <w:szCs w:val="14"/>
          <w:b w:val="1"/>
          <w:bCs w:val="1"/>
          <w:color w:val="auto"/>
        </w:rPr>
        <w:t>Leverage Ratio.</w:t>
      </w:r>
      <w:r>
        <w:rPr>
          <w:rFonts w:ascii="Times New Roman" w:cs="Times New Roman" w:eastAsia="Times New Roman" w:hAnsi="Times New Roman"/>
          <w:sz w:val="14"/>
          <w:szCs w:val="14"/>
          <w:color w:val="auto"/>
        </w:rPr>
        <w:t xml:space="preserve"> Holdings shall not permit, as of the last day of any fiscal quarter, commencing with the fiscal quarter ending March 31, 2023, the Leverage Ratio to be greater than (a) 3.50 to 1.00 for each fiscal quarter ending on or prior to December 31, 2024, (b) 3.75 to 1.00 for the fiscal quarters ending on March 31, 2025 and June 30, 2025 and (c) 3.50 to 1.00 for the fiscal quarter ending on September 30, 2025 and for each fiscal quarter thereafter.</w:t>
      </w:r>
    </w:p>
    <w:p>
      <w:pPr>
        <w:spacing w:after="0" w:line="2" w:lineRule="exact"/>
        <w:rPr>
          <w:sz w:val="20"/>
          <w:szCs w:val="20"/>
          <w:color w:val="auto"/>
        </w:rPr>
      </w:pPr>
    </w:p>
    <w:p>
      <w:pPr>
        <w:jc w:val="both"/>
        <w:ind w:right="20" w:firstLine="432"/>
        <w:spacing w:after="0" w:line="285" w:lineRule="auto"/>
        <w:rPr>
          <w:sz w:val="20"/>
          <w:szCs w:val="20"/>
          <w:color w:val="auto"/>
        </w:rPr>
      </w:pPr>
      <w:r>
        <w:rPr>
          <w:rFonts w:ascii="Times New Roman" w:cs="Times New Roman" w:eastAsia="Times New Roman" w:hAnsi="Times New Roman"/>
          <w:sz w:val="14"/>
          <w:szCs w:val="14"/>
          <w:color w:val="auto"/>
        </w:rPr>
        <w:t xml:space="preserve">Section 8.2 </w:t>
      </w:r>
      <w:r>
        <w:rPr>
          <w:rFonts w:ascii="Times New Roman" w:cs="Times New Roman" w:eastAsia="Times New Roman" w:hAnsi="Times New Roman"/>
          <w:sz w:val="14"/>
          <w:szCs w:val="14"/>
          <w:b w:val="1"/>
          <w:bCs w:val="1"/>
          <w:u w:val="single" w:color="auto"/>
          <w:color w:val="auto"/>
        </w:rPr>
        <w:t>Fixed Charge Coverage Ratio.</w:t>
      </w:r>
      <w:r>
        <w:rPr>
          <w:rFonts w:ascii="Times New Roman" w:cs="Times New Roman" w:eastAsia="Times New Roman" w:hAnsi="Times New Roman"/>
          <w:sz w:val="14"/>
          <w:szCs w:val="14"/>
          <w:color w:val="auto"/>
        </w:rPr>
        <w:t xml:space="preserve"> Holdings shall not permit, as of the last day of any fiscal quarter, commencing with the fiscal quarter ending March 31, 2023, the Fixed Charge Coverage Ratio to be less than 1.25 to 1.00.</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9.</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DEFAULT</w:t>
      </w:r>
    </w:p>
    <w:p>
      <w:pPr>
        <w:spacing w:after="0" w:line="143"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9.1</w:t>
      </w:r>
      <w:r>
        <w:rPr>
          <w:sz w:val="20"/>
          <w:szCs w:val="20"/>
          <w:color w:val="auto"/>
        </w:rPr>
        <w:tab/>
      </w:r>
      <w:r>
        <w:rPr>
          <w:rFonts w:ascii="Times New Roman" w:cs="Times New Roman" w:eastAsia="Times New Roman" w:hAnsi="Times New Roman"/>
          <w:sz w:val="14"/>
          <w:szCs w:val="14"/>
          <w:b w:val="1"/>
          <w:bCs w:val="1"/>
          <w:u w:val="single" w:color="auto"/>
          <w:color w:val="auto"/>
        </w:rPr>
        <w:t xml:space="preserve">Events of Default. </w:t>
      </w:r>
      <w:r>
        <w:rPr>
          <w:rFonts w:ascii="Times New Roman" w:cs="Times New Roman" w:eastAsia="Times New Roman" w:hAnsi="Times New Roman"/>
          <w:sz w:val="14"/>
          <w:szCs w:val="14"/>
          <w:color w:val="auto"/>
        </w:rPr>
        <w:t>Each of the following shall be deemed an “</w:t>
      </w:r>
      <w:r>
        <w:rPr>
          <w:rFonts w:ascii="Times New Roman" w:cs="Times New Roman" w:eastAsia="Times New Roman" w:hAnsi="Times New Roman"/>
          <w:sz w:val="14"/>
          <w:szCs w:val="14"/>
          <w:b w:val="1"/>
          <w:bCs w:val="1"/>
          <w:i w:val="1"/>
          <w:iCs w:val="1"/>
          <w:color w:val="auto"/>
        </w:rPr>
        <w:t>Event of Default</w:t>
      </w:r>
      <w:r>
        <w:rPr>
          <w:rFonts w:ascii="Times New Roman" w:cs="Times New Roman" w:eastAsia="Times New Roman" w:hAnsi="Times New Roman"/>
          <w:sz w:val="14"/>
          <w:szCs w:val="14"/>
          <w:color w:val="auto"/>
        </w:rPr>
        <w:t>”:</w:t>
      </w:r>
    </w:p>
    <w:p>
      <w:pPr>
        <w:spacing w:after="0" w:line="41" w:lineRule="exact"/>
        <w:rPr>
          <w:sz w:val="20"/>
          <w:szCs w:val="20"/>
          <w:color w:val="auto"/>
        </w:rPr>
      </w:pPr>
    </w:p>
    <w:p>
      <w:pPr>
        <w:ind w:left="420" w:firstLine="436"/>
        <w:spacing w:after="0" w:line="265" w:lineRule="auto"/>
        <w:tabs>
          <w:tab w:leader="none" w:pos="1183"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Loan Parties shall fail to pay the Obligations under the Loan Documents or any part thereof shall not be paid when due or declared due and, other than with respect to payments of principal, such failure shall continue unremedied for three (3) days after such payment became due;</w:t>
      </w:r>
    </w:p>
    <w:p>
      <w:pPr>
        <w:ind w:left="1160" w:hanging="304"/>
        <w:spacing w:after="0"/>
        <w:tabs>
          <w:tab w:leader="none" w:pos="116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Loan Party shall breach any provision of </w:t>
      </w:r>
      <w:r>
        <w:rPr>
          <w:rFonts w:ascii="Times New Roman" w:cs="Times New Roman" w:eastAsia="Times New Roman" w:hAnsi="Times New Roman"/>
          <w:sz w:val="14"/>
          <w:szCs w:val="14"/>
          <w:b w:val="1"/>
          <w:bCs w:val="1"/>
          <w:i w:val="1"/>
          <w:iCs w:val="1"/>
          <w:color w:val="auto"/>
        </w:rPr>
        <w:t>Sections 6.1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6.2</w:t>
      </w:r>
      <w:r>
        <w:rPr>
          <w:rFonts w:ascii="Times New Roman" w:cs="Times New Roman" w:eastAsia="Times New Roman" w:hAnsi="Times New Roman"/>
          <w:sz w:val="14"/>
          <w:szCs w:val="14"/>
          <w:color w:val="auto"/>
        </w:rPr>
        <w:t xml:space="preserve"> (with respect to a Loan Party’s existence), </w:t>
      </w:r>
      <w:r>
        <w:rPr>
          <w:rFonts w:ascii="Times New Roman" w:cs="Times New Roman" w:eastAsia="Times New Roman" w:hAnsi="Times New Roman"/>
          <w:sz w:val="14"/>
          <w:szCs w:val="14"/>
          <w:b w:val="1"/>
          <w:bCs w:val="1"/>
          <w:i w:val="1"/>
          <w:iCs w:val="1"/>
          <w:color w:val="auto"/>
        </w:rPr>
        <w:t>6.5, 6.12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6.13</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6.14</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Article 7</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Article 8</w:t>
      </w:r>
      <w:r>
        <w:rPr>
          <w:rFonts w:ascii="Times New Roman" w:cs="Times New Roman" w:eastAsia="Times New Roman" w:hAnsi="Times New Roman"/>
          <w:sz w:val="14"/>
          <w:szCs w:val="14"/>
          <w:color w:val="auto"/>
        </w:rPr>
        <w:t xml:space="preserve"> of this Agreement;</w:t>
      </w:r>
    </w:p>
    <w:p>
      <w:pPr>
        <w:spacing w:after="0" w:line="41" w:lineRule="exact"/>
        <w:rPr>
          <w:rFonts w:ascii="Times New Roman" w:cs="Times New Roman" w:eastAsia="Times New Roman" w:hAnsi="Times New Roman"/>
          <w:sz w:val="14"/>
          <w:szCs w:val="14"/>
          <w:color w:val="auto"/>
        </w:rPr>
      </w:pPr>
    </w:p>
    <w:p>
      <w:pPr>
        <w:jc w:val="both"/>
        <w:ind w:left="420" w:firstLine="436"/>
        <w:spacing w:after="0" w:line="254" w:lineRule="auto"/>
        <w:tabs>
          <w:tab w:leader="none" w:pos="1186"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representation or warranty made or deemed made by any Loan Party (or any of their respective officers) in any Loan Document or in any certificate, report, notice, or financial statement furnished at any time in connection with this Agreement or any other Loan Document shall be false, misleading, or erroneous in any material respect (without duplication of any materiality qualifier contained therein) when made or deemed to have been made;</w:t>
      </w:r>
    </w:p>
    <w:p>
      <w:pPr>
        <w:spacing w:after="0" w:line="1" w:lineRule="exact"/>
        <w:rPr>
          <w:rFonts w:ascii="Times New Roman" w:cs="Times New Roman" w:eastAsia="Times New Roman" w:hAnsi="Times New Roman"/>
          <w:sz w:val="14"/>
          <w:szCs w:val="14"/>
          <w:color w:val="auto"/>
        </w:rPr>
      </w:pPr>
    </w:p>
    <w:p>
      <w:pPr>
        <w:jc w:val="both"/>
        <w:ind w:left="420" w:firstLine="436"/>
        <w:spacing w:after="0" w:line="254" w:lineRule="auto"/>
        <w:tabs>
          <w:tab w:leader="none" w:pos="1172"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Holdings, any of its Subsidiaries, or any other Loan Party or any Subsidiary of any Loan Party shall fail to perform, observe, or comply with any covenant, agreement, or term contained in this Agreement or any other Loan Document (other than as covered by </w:t>
      </w:r>
      <w:r>
        <w:rPr>
          <w:rFonts w:ascii="Times New Roman" w:cs="Times New Roman" w:eastAsia="Times New Roman" w:hAnsi="Times New Roman"/>
          <w:sz w:val="14"/>
          <w:szCs w:val="14"/>
          <w:b w:val="1"/>
          <w:bCs w:val="1"/>
          <w:i w:val="1"/>
          <w:iCs w:val="1"/>
          <w:color w:val="auto"/>
        </w:rPr>
        <w:t>Sections 9.1(a)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(b)</w:t>
      </w:r>
      <w:r>
        <w:rPr>
          <w:rFonts w:ascii="Times New Roman" w:cs="Times New Roman" w:eastAsia="Times New Roman" w:hAnsi="Times New Roman"/>
          <w:sz w:val="14"/>
          <w:szCs w:val="14"/>
          <w:color w:val="auto"/>
        </w:rPr>
        <w:t xml:space="preserve">), and (i) solely with respect to </w:t>
      </w:r>
      <w:r>
        <w:rPr>
          <w:rFonts w:ascii="Times New Roman" w:cs="Times New Roman" w:eastAsia="Times New Roman" w:hAnsi="Times New Roman"/>
          <w:sz w:val="14"/>
          <w:szCs w:val="14"/>
          <w:b w:val="1"/>
          <w:bCs w:val="1"/>
          <w:i w:val="1"/>
          <w:iCs w:val="1"/>
          <w:color w:val="auto"/>
        </w:rPr>
        <w:t>Section 6.6</w:t>
      </w:r>
      <w:r>
        <w:rPr>
          <w:rFonts w:ascii="Times New Roman" w:cs="Times New Roman" w:eastAsia="Times New Roman" w:hAnsi="Times New Roman"/>
          <w:sz w:val="14"/>
          <w:szCs w:val="14"/>
          <w:color w:val="auto"/>
        </w:rPr>
        <w:t>, such failure continues for ten (10) days, and (ii) otherwise, such failure continues for more than thirty (30) days, in each case, following the earlier to occur of (A) written notice of such failure from the Administrative Agent or the Required Lenders to the Loan Parties and (B) knowledge of such failure by a Responsible Officer of the applicable Loan Party;</w:t>
      </w:r>
    </w:p>
    <w:p>
      <w:pPr>
        <w:spacing w:after="0" w:line="2" w:lineRule="exact"/>
        <w:rPr>
          <w:rFonts w:ascii="Times New Roman" w:cs="Times New Roman" w:eastAsia="Times New Roman" w:hAnsi="Times New Roman"/>
          <w:sz w:val="14"/>
          <w:szCs w:val="14"/>
          <w:color w:val="auto"/>
        </w:rPr>
      </w:pPr>
    </w:p>
    <w:p>
      <w:pPr>
        <w:jc w:val="both"/>
        <w:ind w:left="420" w:firstLine="436"/>
        <w:spacing w:after="0" w:line="249" w:lineRule="auto"/>
        <w:tabs>
          <w:tab w:leader="none" w:pos="1174"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Holdings, any of its Subsidiaries, or any other Loan Party or any Subsidiary of any Loan Party shall commence a voluntary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 substantial part of its Property or shall consent to any such relief or to the appointment of or taking possession by any such official in an involuntary case or other proceeding commenced against it or shall make a general assignment for the benefit of creditors or shall generally fail to pay its debts as they become due or shall take any corporate action to authorize any of the foregoing;</w:t>
      </w:r>
    </w:p>
    <w:p>
      <w:pPr>
        <w:spacing w:after="0" w:line="1" w:lineRule="exact"/>
        <w:rPr>
          <w:rFonts w:ascii="Times New Roman" w:cs="Times New Roman" w:eastAsia="Times New Roman" w:hAnsi="Times New Roman"/>
          <w:sz w:val="14"/>
          <w:szCs w:val="14"/>
          <w:color w:val="auto"/>
        </w:rPr>
      </w:pPr>
    </w:p>
    <w:p>
      <w:pPr>
        <w:ind w:left="420" w:firstLine="436"/>
        <w:spacing w:after="0" w:line="282" w:lineRule="auto"/>
        <w:tabs>
          <w:tab w:leader="none" w:pos="1174"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involuntary proceeding shall be commenced against Holdings, any of its Subsidiaries, or any other Loan Party or any Subsidiary of any Loan Party seeking liquidation, reorganization, or other relief with respect to it or its debts under any bankruptcy, insolvency, or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1300"/>
          </w:cols>
          <w:pgMar w:left="300" w:top="287" w:right="29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4"/>
          <w:szCs w:val="14"/>
          <w:color w:val="auto"/>
        </w:rPr>
        <w:t>other similar Law now or hereafter in effect or seeking the appointment of a trustee, receiver, liquidator, custodian, or other similar official for it or a substantial part of its Property, and such involuntary proceeding shall remain undismissed and unstayed for a period of sixty (60) consecutive days;</w:t>
      </w:r>
    </w:p>
    <w:p>
      <w:pPr>
        <w:jc w:val="both"/>
        <w:ind w:firstLine="436"/>
        <w:spacing w:after="0" w:line="246" w:lineRule="auto"/>
        <w:tabs>
          <w:tab w:leader="none" w:pos="766"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Holdings, any of its Subsidiaries, or any other Loan Party or any Subsidiary of any Loan Party shall fail to pay when due any principal of or interest on any Debt (other than the Obligations under the Loan Documents) with an outstanding principal amount of $1,000,000 or more, or the maturity of any such Debt shall have been accelerated, or any such Debt shall have been required to be prepaid, repurchased, defeased or redeemed prior to the stated maturity thereof or any cash collateral in respect thereof to be demanded, or any event shall have occurred that permits (or, with the giving of notice or lapse of time or both, after any applicable cure periods, would permit) any holder or holders of such Debt, or the counterparty under any Hedge Agreement constituting such Debt, or any Person acting on behalf of such holder or holders or such counterparty to accelerate the maturity thereof or require any such prepayment, repurchase, defeasance or redemption or any cash collateral in respect thereof to be demanded;</w:t>
      </w:r>
    </w:p>
    <w:p>
      <w:pPr>
        <w:spacing w:after="0" w:line="8" w:lineRule="exact"/>
        <w:rPr>
          <w:rFonts w:ascii="Times New Roman" w:cs="Times New Roman" w:eastAsia="Times New Roman" w:hAnsi="Times New Roman"/>
          <w:sz w:val="14"/>
          <w:szCs w:val="14"/>
          <w:color w:val="auto"/>
        </w:rPr>
      </w:pPr>
    </w:p>
    <w:p>
      <w:pPr>
        <w:jc w:val="both"/>
        <w:ind w:firstLine="436"/>
        <w:spacing w:after="0" w:line="251" w:lineRule="auto"/>
        <w:tabs>
          <w:tab w:leader="none" w:pos="758"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the Guaranty or any other Loan Document shall cease to be in full force and effect or shall be declared null and void or the validity or enforceability thereof shall be contested or challenged by Holdings, any of its Subsidiaries, any other Loan Party or any Subsidiary of any Loan Party or any of their respective equity holders, or Holdings or any other Loan Party shall deny that it has any further liability or obligation under any of the Loan Documents, or any Lien created by the Loan Documents shall for any reason cease to be a valid, first priority perfected Lien (subject to Permitted Liens that have priority over the Liens in favor of the Administrative Agent under applicable law) upon any of the Collateral purported to be covered thereby;</w:t>
      </w:r>
    </w:p>
    <w:p>
      <w:pPr>
        <w:spacing w:after="0" w:line="4" w:lineRule="exact"/>
        <w:rPr>
          <w:rFonts w:ascii="Times New Roman" w:cs="Times New Roman" w:eastAsia="Times New Roman" w:hAnsi="Times New Roman"/>
          <w:sz w:val="14"/>
          <w:szCs w:val="14"/>
          <w:color w:val="auto"/>
        </w:rPr>
      </w:pPr>
    </w:p>
    <w:p>
      <w:pPr>
        <w:jc w:val="both"/>
        <w:ind w:firstLine="436"/>
        <w:spacing w:after="0" w:line="251" w:lineRule="auto"/>
        <w:tabs>
          <w:tab w:leader="none" w:pos="73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the following events shall occur or exist with respect to any Loan Party or any ERISA Affiliate: (i) any ERISA Event occurs with respect to a Plan or Multiemployer Plan, or (ii) any Prohibited Transaction involving any Plan or Multiemployer Plan; and in each case above, such event or condition, together with all other events or conditions, if any, have subjected or could in the reasonable opinion of Administrative Agent subject any Loan Party or any ERISA Affiliate to any tax, penalty, or other liability to a Plan, a Multiemployer Plan, the PBGC, the IRS, the U. S. Department of Labor, or otherwise (or any combination thereof) which in the aggregate exceed or could reasonably be expected to exceed $1,000,000;</w:t>
      </w:r>
    </w:p>
    <w:p>
      <w:pPr>
        <w:spacing w:after="0" w:line="1" w:lineRule="exact"/>
        <w:rPr>
          <w:rFonts w:ascii="Times New Roman" w:cs="Times New Roman" w:eastAsia="Times New Roman" w:hAnsi="Times New Roman"/>
          <w:sz w:val="14"/>
          <w:szCs w:val="14"/>
          <w:color w:val="auto"/>
        </w:rPr>
      </w:pPr>
    </w:p>
    <w:p>
      <w:pPr>
        <w:ind w:left="700" w:hanging="264"/>
        <w:spacing w:after="0"/>
        <w:tabs>
          <w:tab w:leader="none" w:pos="70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of Control shall occur;</w:t>
      </w:r>
    </w:p>
    <w:p>
      <w:pPr>
        <w:spacing w:after="0" w:line="37" w:lineRule="exact"/>
        <w:rPr>
          <w:rFonts w:ascii="Times New Roman" w:cs="Times New Roman" w:eastAsia="Times New Roman" w:hAnsi="Times New Roman"/>
          <w:sz w:val="14"/>
          <w:szCs w:val="14"/>
          <w:color w:val="auto"/>
        </w:rPr>
      </w:pPr>
    </w:p>
    <w:p>
      <w:pPr>
        <w:ind w:right="20" w:firstLine="436"/>
        <w:spacing w:after="0" w:line="268" w:lineRule="auto"/>
        <w:tabs>
          <w:tab w:leader="none" w:pos="756"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Holdings, any of its Subsidiaries, or any other Loan Party or any Subsidiary of any Loan Party, or any of their Properties, revenues, or assets, shall become subject to an order of forfeiture, seizure, or divestiture (whether under RICO or otherwise) and the same shall not have been discharged within thirty (30) days from the date of entry thereof;</w:t>
      </w:r>
    </w:p>
    <w:p>
      <w:pPr>
        <w:ind w:firstLine="436"/>
        <w:spacing w:after="0" w:line="268" w:lineRule="auto"/>
        <w:tabs>
          <w:tab w:leader="none" w:pos="739"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Holdings, any of its Subsidiaries, or any other Loan Party or any Subsidiary of any Loan Party shall fail to discharge within a period of thirty (30) consecutive days after the commencement thereof any attachment, sequestration, or similar proceeding or proceedings involving an aggregate amount in excess of $250,000 against any of its assets or Properties;</w:t>
      </w:r>
    </w:p>
    <w:p>
      <w:pPr>
        <w:jc w:val="both"/>
        <w:ind w:firstLine="436"/>
        <w:spacing w:after="0" w:line="251" w:lineRule="auto"/>
        <w:tabs>
          <w:tab w:leader="none" w:pos="806"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final judgment or judgments for the payment of money in excess of $1,000,000 not covered by insurance in the aggregate and to which the applicable insurer has denied coverage shall be rendered by a court or courts against Holdings, any of its Subsidiaries, or any other Loan Party or any Subsidiary of any Loan Party and the same shall not be discharged (or provision shall not be made for such discharge), or a stay of execution thereof shall not be procured, within thirty (30) consecutive days from the date of entry thereof and Holdings, such Subsidiary, or such Loan Party or such Subsidiary of such Loan Party shall not, within such period of thirty (30) consecutive days, or such longer period during which execution of the same shall have been stayed, appeal therefrom and cause the execution thereof to be stayed during such appeal; or</w:t>
      </w:r>
    </w:p>
    <w:p>
      <w:pPr>
        <w:spacing w:after="0" w:line="3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10880"/>
          </w:cols>
          <w:pgMar w:left="720" w:top="287" w:right="29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ind w:left="420" w:firstLine="436"/>
        <w:spacing w:after="0" w:line="266" w:lineRule="auto"/>
        <w:tabs>
          <w:tab w:leader="none" w:pos="1177"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 of default shall occur under any of the Subordinated Debt Documents or any Loan Party shall contest in any manner the validity, binding nature or enforceability of any Subordination Agreement.</w:t>
      </w:r>
    </w:p>
    <w:p>
      <w:pPr>
        <w:spacing w:after="0" w:line="1"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4"/>
          <w:szCs w:val="14"/>
          <w:color w:val="auto"/>
        </w:rPr>
        <w:t xml:space="preserve">Section 9.2 </w:t>
      </w:r>
      <w:r>
        <w:rPr>
          <w:rFonts w:ascii="Times New Roman" w:cs="Times New Roman" w:eastAsia="Times New Roman" w:hAnsi="Times New Roman"/>
          <w:sz w:val="14"/>
          <w:szCs w:val="14"/>
          <w:b w:val="1"/>
          <w:bCs w:val="1"/>
          <w:u w:val="single" w:color="auto"/>
          <w:color w:val="auto"/>
        </w:rPr>
        <w:t>Remedies Upon Default.</w:t>
      </w:r>
      <w:r>
        <w:rPr>
          <w:rFonts w:ascii="Times New Roman" w:cs="Times New Roman" w:eastAsia="Times New Roman" w:hAnsi="Times New Roman"/>
          <w:sz w:val="14"/>
          <w:szCs w:val="14"/>
          <w:color w:val="auto"/>
        </w:rPr>
        <w:t xml:space="preserve"> If any Event of Default shall occur and be continuing, then Administrative Agent may, with the consent of Required Lenders, or shall, at the direction of Required Lenders, without notice do any or all of the following: (a) terminate the Commitments of Lenders (except for funding obligations of outstanding Letters of Credit), (b) terminate the obligations of L/C Issuer to make L/C Credit Extensions, (c) terminate the commitment of Swing Line Lender to make Swing Line Loans, (d) require that Borrowers Cash Collateralize the L/C Obligations (in an amount equal to the Minimum Collateral Amount with respect thereto), or (e) declare the Obligations (other than the Obligations arising out of Bank Product Agreements) or any part thereof to be immediately due and payable, and the same shall thereupon become immediately due and payable, without notice, demand, presentment, notice of dishonor, notice of acceleration, notice of intent to accelerate, notice of intent to demand, protest, or other formalities of any kind, all of which are hereby expressly waived by each Borrower and each other Loan Party;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upon the occurrence of an Event of Default under </w:t>
      </w:r>
      <w:r>
        <w:rPr>
          <w:rFonts w:ascii="Times New Roman" w:cs="Times New Roman" w:eastAsia="Times New Roman" w:hAnsi="Times New Roman"/>
          <w:sz w:val="14"/>
          <w:szCs w:val="14"/>
          <w:b w:val="1"/>
          <w:bCs w:val="1"/>
          <w:i w:val="1"/>
          <w:iCs w:val="1"/>
          <w:color w:val="auto"/>
        </w:rPr>
        <w:t>Section 9.1(e)</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Section 9.1(f)</w:t>
      </w:r>
      <w:r>
        <w:rPr>
          <w:rFonts w:ascii="Times New Roman" w:cs="Times New Roman" w:eastAsia="Times New Roman" w:hAnsi="Times New Roman"/>
          <w:sz w:val="14"/>
          <w:szCs w:val="14"/>
          <w:color w:val="auto"/>
        </w:rPr>
        <w:t>, the Commitments of Lenders shall automatically terminate (except for funding obligations of outstanding Letters of Credit), the obligations of L/C Issuer to make L/C Credit Extensions shall automatically terminate, the commitment of Swing Line Lender to make Swing Line Loans shall automatically terminate, the obligation of each Borrower to Cash Collateralize the L/C Obligations as aforesaid shall automatically become effective, and the Obligations (other than the Obligations arising out of Bank Product Agreements) shall become immediately due and payable, in each case without notice, demand, presentment, notice of dishonor, notice of acceleration, notice of intent to accelerate, notice of intent to demand, protest, or other formalities of any kind, all of which are hereby expressly waived by each Borrower and each other Loan Party. In addition to the foregoing, if any Event of Default shall occur and be continuing, Administrative Agent may, with the consent of Required Lenders, or shall, at the direction of Required Lenders, exercise all rights and remedies available to it, Lenders and L/C Issuer in law or in equity, under the Loan Documents, or otherwise.</w:t>
      </w:r>
    </w:p>
    <w:p>
      <w:pPr>
        <w:spacing w:after="0" w:line="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4"/>
          <w:szCs w:val="14"/>
          <w:color w:val="auto"/>
        </w:rPr>
        <w:t xml:space="preserve">Section 9.3 </w:t>
      </w:r>
      <w:r>
        <w:rPr>
          <w:rFonts w:ascii="Times New Roman" w:cs="Times New Roman" w:eastAsia="Times New Roman" w:hAnsi="Times New Roman"/>
          <w:sz w:val="14"/>
          <w:szCs w:val="14"/>
          <w:b w:val="1"/>
          <w:bCs w:val="1"/>
          <w:u w:val="single" w:color="auto"/>
          <w:color w:val="auto"/>
        </w:rPr>
        <w:t>Application of Funds.</w:t>
      </w:r>
      <w:r>
        <w:rPr>
          <w:rFonts w:ascii="Times New Roman" w:cs="Times New Roman" w:eastAsia="Times New Roman" w:hAnsi="Times New Roman"/>
          <w:sz w:val="14"/>
          <w:szCs w:val="14"/>
          <w:color w:val="auto"/>
        </w:rPr>
        <w:t xml:space="preserve"> After the exercise of remedies provided for in </w:t>
      </w:r>
      <w:r>
        <w:rPr>
          <w:rFonts w:ascii="Times New Roman" w:cs="Times New Roman" w:eastAsia="Times New Roman" w:hAnsi="Times New Roman"/>
          <w:sz w:val="14"/>
          <w:szCs w:val="14"/>
          <w:b w:val="1"/>
          <w:bCs w:val="1"/>
          <w:i w:val="1"/>
          <w:iCs w:val="1"/>
          <w:color w:val="auto"/>
        </w:rPr>
        <w:t>Section 9.2</w:t>
      </w:r>
      <w:r>
        <w:rPr>
          <w:rFonts w:ascii="Times New Roman" w:cs="Times New Roman" w:eastAsia="Times New Roman" w:hAnsi="Times New Roman"/>
          <w:sz w:val="14"/>
          <w:szCs w:val="14"/>
          <w:color w:val="auto"/>
        </w:rPr>
        <w:t xml:space="preserve"> (or if an Event of Default has occurred and is continuing and the written notice thereof, if any, to any Borrower from Administrative Agent expressly provides that this </w:t>
      </w:r>
      <w:r>
        <w:rPr>
          <w:rFonts w:ascii="Times New Roman" w:cs="Times New Roman" w:eastAsia="Times New Roman" w:hAnsi="Times New Roman"/>
          <w:sz w:val="14"/>
          <w:szCs w:val="14"/>
          <w:b w:val="1"/>
          <w:bCs w:val="1"/>
          <w:i w:val="1"/>
          <w:iCs w:val="1"/>
          <w:color w:val="auto"/>
        </w:rPr>
        <w:t>Section 9.3</w:t>
      </w:r>
      <w:r>
        <w:rPr>
          <w:rFonts w:ascii="Times New Roman" w:cs="Times New Roman" w:eastAsia="Times New Roman" w:hAnsi="Times New Roman"/>
          <w:sz w:val="14"/>
          <w:szCs w:val="14"/>
          <w:color w:val="auto"/>
        </w:rPr>
        <w:t xml:space="preserve"> shall thereafter apply to any amounts received on account of the Obligations or after the Loans have automatically become immediately due and payable), any amounts received on account of the Obligations shall be applied by Administrative Agent in the following order:</w:t>
      </w:r>
    </w:p>
    <w:p>
      <w:pPr>
        <w:spacing w:after="0" w:line="2"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i w:val="1"/>
          <w:iCs w:val="1"/>
          <w:color w:val="auto"/>
        </w:rPr>
        <w:t>First</w:t>
      </w:r>
      <w:r>
        <w:rPr>
          <w:rFonts w:ascii="Times New Roman" w:cs="Times New Roman" w:eastAsia="Times New Roman" w:hAnsi="Times New Roman"/>
          <w:sz w:val="14"/>
          <w:szCs w:val="14"/>
          <w:color w:val="auto"/>
        </w:rPr>
        <w:t>, to payment of that portion of the Obligations constituting fees, indemnities, expenses and other amounts (including fees, charges and disbursements of counsel to Administrative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Agent) payable to Administrative Agent in its capacity as such;</w:t>
      </w:r>
    </w:p>
    <w:p>
      <w:pPr>
        <w:jc w:val="both"/>
        <w:ind w:firstLine="432"/>
        <w:spacing w:after="0" w:line="259" w:lineRule="auto"/>
        <w:rPr>
          <w:sz w:val="20"/>
          <w:szCs w:val="20"/>
          <w:color w:val="auto"/>
        </w:rPr>
      </w:pPr>
      <w:r>
        <w:rPr>
          <w:rFonts w:ascii="Times New Roman" w:cs="Times New Roman" w:eastAsia="Times New Roman" w:hAnsi="Times New Roman"/>
          <w:sz w:val="14"/>
          <w:szCs w:val="14"/>
          <w:i w:val="1"/>
          <w:iCs w:val="1"/>
          <w:color w:val="auto"/>
        </w:rPr>
        <w:t>Second</w:t>
      </w:r>
      <w:r>
        <w:rPr>
          <w:rFonts w:ascii="Times New Roman" w:cs="Times New Roman" w:eastAsia="Times New Roman" w:hAnsi="Times New Roman"/>
          <w:sz w:val="14"/>
          <w:szCs w:val="14"/>
          <w:color w:val="auto"/>
        </w:rPr>
        <w:t>, to payment of that portion of the Obligations constituting fees, indemnities and other amounts (other than principal, interest, and Letter of Credit Fees) payable to Lenders and L/C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Issuer (including fees, charges and disbursements of counsel to the respective Lenders and L/C Issuer) arising under the Loan Documents, ratably among them in proportion to the respective amounts described in this </w:t>
      </w:r>
      <w:r>
        <w:rPr>
          <w:rFonts w:ascii="Times New Roman" w:cs="Times New Roman" w:eastAsia="Times New Roman" w:hAnsi="Times New Roman"/>
          <w:sz w:val="14"/>
          <w:szCs w:val="14"/>
          <w:b w:val="1"/>
          <w:bCs w:val="1"/>
          <w:i w:val="1"/>
          <w:iCs w:val="1"/>
          <w:color w:val="auto"/>
        </w:rPr>
        <w:t>clause Second</w:t>
      </w:r>
      <w:r>
        <w:rPr>
          <w:rFonts w:ascii="Times New Roman" w:cs="Times New Roman" w:eastAsia="Times New Roman" w:hAnsi="Times New Roman"/>
          <w:sz w:val="14"/>
          <w:szCs w:val="14"/>
          <w:color w:val="auto"/>
        </w:rPr>
        <w:t xml:space="preserve"> payable to them;</w:t>
      </w:r>
    </w:p>
    <w:p>
      <w:pPr>
        <w:spacing w:after="0" w:line="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i w:val="1"/>
          <w:iCs w:val="1"/>
          <w:color w:val="auto"/>
        </w:rPr>
        <w:t>Third</w:t>
      </w:r>
      <w:r>
        <w:rPr>
          <w:rFonts w:ascii="Times New Roman" w:cs="Times New Roman" w:eastAsia="Times New Roman" w:hAnsi="Times New Roman"/>
          <w:sz w:val="14"/>
          <w:szCs w:val="14"/>
          <w:color w:val="auto"/>
        </w:rPr>
        <w:t>, to payment of that portion of the Obligations constituting accrued and unpaid Letter of Credit Fees and interest on the Loans, L/C Borrowings and other Obligations arising under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Loan Documents, ratably among Lenders and L/C Issuer in proportion to the respective amounts described in this </w:t>
      </w:r>
      <w:r>
        <w:rPr>
          <w:rFonts w:ascii="Times New Roman" w:cs="Times New Roman" w:eastAsia="Times New Roman" w:hAnsi="Times New Roman"/>
          <w:sz w:val="14"/>
          <w:szCs w:val="14"/>
          <w:b w:val="1"/>
          <w:bCs w:val="1"/>
          <w:i w:val="1"/>
          <w:iCs w:val="1"/>
          <w:color w:val="auto"/>
        </w:rPr>
        <w:t>clause Third</w:t>
      </w:r>
      <w:r>
        <w:rPr>
          <w:rFonts w:ascii="Times New Roman" w:cs="Times New Roman" w:eastAsia="Times New Roman" w:hAnsi="Times New Roman"/>
          <w:sz w:val="14"/>
          <w:szCs w:val="14"/>
          <w:color w:val="auto"/>
        </w:rPr>
        <w:t xml:space="preserve"> payable to them;</w:t>
      </w:r>
    </w:p>
    <w:p>
      <w:pPr>
        <w:jc w:val="both"/>
        <w:ind w:firstLine="432"/>
        <w:spacing w:after="0" w:line="251" w:lineRule="auto"/>
        <w:rPr>
          <w:sz w:val="20"/>
          <w:szCs w:val="20"/>
          <w:color w:val="auto"/>
        </w:rPr>
      </w:pPr>
      <w:r>
        <w:rPr>
          <w:rFonts w:ascii="Times New Roman" w:cs="Times New Roman" w:eastAsia="Times New Roman" w:hAnsi="Times New Roman"/>
          <w:sz w:val="14"/>
          <w:szCs w:val="14"/>
          <w:i w:val="1"/>
          <w:iCs w:val="1"/>
          <w:color w:val="auto"/>
        </w:rPr>
        <w:t>Fourth</w:t>
      </w:r>
      <w:r>
        <w:rPr>
          <w:rFonts w:ascii="Times New Roman" w:cs="Times New Roman" w:eastAsia="Times New Roman" w:hAnsi="Times New Roman"/>
          <w:sz w:val="14"/>
          <w:szCs w:val="14"/>
          <w:color w:val="auto"/>
        </w:rPr>
        <w:t>, to (i) payment of that portion of the Obligations constituting unpaid principal of the Loans and L/C Borrowings and constituting unpaid Bank Product Obligations up to the amount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of the Availability Reserves with respect to Bank Products existing therefor and (ii) Administrative Agent for the account of the L/C Issuer, to Cash Collateralize that portion of L/C Obligations comprised of the aggregate undrawn amount of Letters of Credit to the extent not otherwise Cash Collateralized by any Borrower pursuant to </w:t>
      </w:r>
      <w:r>
        <w:rPr>
          <w:rFonts w:ascii="Times New Roman" w:cs="Times New Roman" w:eastAsia="Times New Roman" w:hAnsi="Times New Roman"/>
          <w:sz w:val="14"/>
          <w:szCs w:val="14"/>
          <w:b w:val="1"/>
          <w:bCs w:val="1"/>
          <w:i w:val="1"/>
          <w:iCs w:val="1"/>
          <w:color w:val="auto"/>
        </w:rPr>
        <w:t>Sections 2.2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2.7</w:t>
      </w:r>
      <w:r>
        <w:rPr>
          <w:rFonts w:ascii="Times New Roman" w:cs="Times New Roman" w:eastAsia="Times New Roman" w:hAnsi="Times New Roman"/>
          <w:sz w:val="14"/>
          <w:szCs w:val="14"/>
          <w:color w:val="auto"/>
        </w:rPr>
        <w:t>, ratably among Lenders, Bank Product Providers and Administrative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1300"/>
          </w:cols>
          <w:pgMar w:left="300" w:top="287" w:right="29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Agent (for the account of the L/C Issuer) in proportion to the respective amounts described in this </w:t>
      </w:r>
      <w:r>
        <w:rPr>
          <w:rFonts w:ascii="Times New Roman" w:cs="Times New Roman" w:eastAsia="Times New Roman" w:hAnsi="Times New Roman"/>
          <w:sz w:val="14"/>
          <w:szCs w:val="14"/>
          <w:b w:val="1"/>
          <w:bCs w:val="1"/>
          <w:i w:val="1"/>
          <w:iCs w:val="1"/>
          <w:color w:val="auto"/>
        </w:rPr>
        <w:t>clause Fourth</w:t>
      </w:r>
      <w:r>
        <w:rPr>
          <w:rFonts w:ascii="Times New Roman" w:cs="Times New Roman" w:eastAsia="Times New Roman" w:hAnsi="Times New Roman"/>
          <w:sz w:val="14"/>
          <w:szCs w:val="14"/>
          <w:color w:val="auto"/>
        </w:rPr>
        <w:t xml:space="preserve"> held by them;</w:t>
      </w:r>
    </w:p>
    <w:p>
      <w:pPr>
        <w:spacing w:after="0" w:line="37"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4"/>
          <w:szCs w:val="14"/>
          <w:i w:val="1"/>
          <w:iCs w:val="1"/>
          <w:color w:val="auto"/>
        </w:rPr>
        <w:t>Fifth</w:t>
      </w:r>
      <w:r>
        <w:rPr>
          <w:rFonts w:ascii="Times New Roman" w:cs="Times New Roman" w:eastAsia="Times New Roman" w:hAnsi="Times New Roman"/>
          <w:sz w:val="14"/>
          <w:szCs w:val="14"/>
          <w:color w:val="auto"/>
        </w:rPr>
        <w:t>, to payment of that remaining portion of the Obligations, ratably among the Lenders and Bank Product Providers in proportion to the respective amounts described in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i w:val="1"/>
          <w:iCs w:val="1"/>
          <w:color w:val="auto"/>
        </w:rPr>
        <w:t>clause Sixth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held by them; and</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i w:val="1"/>
          <w:iCs w:val="1"/>
          <w:color w:val="auto"/>
        </w:rPr>
        <w:t>Last</w:t>
      </w:r>
      <w:r>
        <w:rPr>
          <w:rFonts w:ascii="Times New Roman" w:cs="Times New Roman" w:eastAsia="Times New Roman" w:hAnsi="Times New Roman"/>
          <w:sz w:val="14"/>
          <w:szCs w:val="14"/>
          <w:color w:val="auto"/>
        </w:rPr>
        <w:t>, the balance, if any, after all of the Obligations have been indefeasibly paid in full, to Borrowers or as otherwise required by Law.</w:t>
      </w:r>
    </w:p>
    <w:p>
      <w:pPr>
        <w:spacing w:after="0" w:line="39"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4"/>
          <w:szCs w:val="14"/>
          <w:color w:val="auto"/>
        </w:rPr>
        <w:t>Notwithstanding anything to the contrary herein or in any other Loan Document, no amount received from any Loan Party shall be applied to any Excluded Swap Obligation of such Loan Party, but appropriate adjustments shall be made with respect to payments from other Loan Parties to preserve allocation to Obligations otherwise set forth in this Section.</w:t>
      </w:r>
    </w:p>
    <w:p>
      <w:pPr>
        <w:spacing w:after="0" w:line="1"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4"/>
          <w:szCs w:val="14"/>
          <w:color w:val="auto"/>
        </w:rPr>
        <w:t xml:space="preserve">Further notwithstanding, Bank Product Obligations shall be excluded from the application described above if Administrative Agent has not received written notice thereof, together with supporting documentation as Administrative Agent may request from the applicable Bank Product Provider,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such notice shall be required for any Bank Product Agreement for which Administrative Agent or any Affiliate of Administrative Agent is the applicable Bank Product Provider. Each Bank Product Provider that is not a party to this Agreement that has given notice contemplated by the preceding sentence shall, by such notice, be deemed to have acknowledged and accepted the appointment of Administrative Agent pursuant to the terms of </w:t>
      </w:r>
      <w:r>
        <w:rPr>
          <w:rFonts w:ascii="Times New Roman" w:cs="Times New Roman" w:eastAsia="Times New Roman" w:hAnsi="Times New Roman"/>
          <w:sz w:val="14"/>
          <w:szCs w:val="14"/>
          <w:b w:val="1"/>
          <w:bCs w:val="1"/>
          <w:i w:val="1"/>
          <w:iCs w:val="1"/>
          <w:color w:val="auto"/>
        </w:rPr>
        <w:t>Article 10</w:t>
      </w:r>
      <w:r>
        <w:rPr>
          <w:rFonts w:ascii="Times New Roman" w:cs="Times New Roman" w:eastAsia="Times New Roman" w:hAnsi="Times New Roman"/>
          <w:sz w:val="14"/>
          <w:szCs w:val="14"/>
          <w:color w:val="auto"/>
        </w:rPr>
        <w:t xml:space="preserve"> hereof for itself and its Affiliates as if a “Lender” party hereto.</w:t>
      </w:r>
    </w:p>
    <w:p>
      <w:pPr>
        <w:spacing w:after="0" w:line="2"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4"/>
          <w:szCs w:val="14"/>
          <w:color w:val="auto"/>
        </w:rPr>
        <w:t xml:space="preserve">Section 9.4 </w:t>
      </w:r>
      <w:r>
        <w:rPr>
          <w:rFonts w:ascii="Times New Roman" w:cs="Times New Roman" w:eastAsia="Times New Roman" w:hAnsi="Times New Roman"/>
          <w:sz w:val="14"/>
          <w:szCs w:val="14"/>
          <w:b w:val="1"/>
          <w:bCs w:val="1"/>
          <w:u w:val="single" w:color="auto"/>
          <w:color w:val="auto"/>
        </w:rPr>
        <w:t>Performance by Administrative Agent.</w:t>
      </w:r>
      <w:r>
        <w:rPr>
          <w:rFonts w:ascii="Times New Roman" w:cs="Times New Roman" w:eastAsia="Times New Roman" w:hAnsi="Times New Roman"/>
          <w:sz w:val="14"/>
          <w:szCs w:val="14"/>
          <w:color w:val="auto"/>
        </w:rPr>
        <w:t xml:space="preserve"> If any Loan Party shall fail to perform any covenant or agreement contained in any of the Loan Documents, then Administrative Agent may perform or attempt to perform such covenant or agreement on behalf of such Loan Party. In such event, Borrowers shall, at the request of Administrative Agent, promptly pay to Administrative Agent any amount reasonably expended by Administrative Agent in connection with such performance or attempted performance, together with interest thereon at the Default Interest Rate from and including the date of such expenditure to but excluding the date such expenditure is paid in full. Notwithstanding the foregoing, it is expressly agreed that Administrative Agent shall not have any liability or responsibility for the performance of any covenant, agreement, or other obligation of any Borrower or any other Loan Party under this Agreement or any other Loan Document.</w:t>
      </w:r>
    </w:p>
    <w:p>
      <w:pPr>
        <w:spacing w:after="0" w:line="162"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4"/>
          <w:szCs w:val="14"/>
          <w:color w:val="auto"/>
        </w:rPr>
        <w:t>Section 9.5</w:t>
      </w:r>
      <w:r>
        <w:rPr>
          <w:sz w:val="20"/>
          <w:szCs w:val="20"/>
          <w:color w:val="auto"/>
        </w:rPr>
        <w:tab/>
      </w:r>
      <w:r>
        <w:rPr>
          <w:rFonts w:ascii="Times New Roman" w:cs="Times New Roman" w:eastAsia="Times New Roman" w:hAnsi="Times New Roman"/>
          <w:sz w:val="14"/>
          <w:szCs w:val="14"/>
          <w:b w:val="1"/>
          <w:bCs w:val="1"/>
          <w:u w:val="single" w:color="auto"/>
          <w:color w:val="auto"/>
        </w:rPr>
        <w:t>Credit Bidding.</w:t>
      </w:r>
    </w:p>
    <w:p>
      <w:pPr>
        <w:spacing w:after="0" w:line="38" w:lineRule="exact"/>
        <w:rPr>
          <w:sz w:val="20"/>
          <w:szCs w:val="20"/>
          <w:color w:val="auto"/>
        </w:rPr>
      </w:pPr>
    </w:p>
    <w:p>
      <w:pPr>
        <w:jc w:val="both"/>
        <w:ind w:left="420" w:firstLine="436"/>
        <w:spacing w:after="0" w:line="244" w:lineRule="auto"/>
        <w:tabs>
          <w:tab w:leader="none" w:pos="1173"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Administrative Agent, on behalf of itself and the Secured Parties, shall have the right, exercisable at the direction of the Required Lenders, to credit bid and purchase for the benefit of the Administrative Agent and the Secured Parties all or any portion of Collateral at any sale thereof conducted by the Administrative Agent under the provisions of the UCC, including pursuant to Sections 9.610 or 9.620 of the UCC, at any sale thereof conducted under the provisions of the Bankruptcy Code of the United States, including section 363 thereof, or a sale under a plan of reorganization, or at any other sale or foreclosure conducted by the Administrative Agent (whether by judicial action or otherwise) in accordance with applicable law. Such credit bid or purchase may be completed through one or more acquisition vehicles formed by the Administrative Agent to make such credit bid or purchase and, in connection therewith, the Administrative Agent is authorized, on behalf of itself and the other Secured Parties, to adopt documents providing for the governance of the acquisition vehicle or vehicles, and assign the applicable Obligations to any such acquisition vehicle in exchange for Equity Interests and/or debt issued by the applicable acquisition vehicle (which shall be deemed to be held for the ratable account of the applicable Secured Parties on the basis of the Obligations so assigned by each Secured Party);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4"/>
          <w:szCs w:val="14"/>
          <w:b w:val="1"/>
          <w:bCs w:val="1"/>
          <w:i w:val="1"/>
          <w:iCs w:val="1"/>
          <w:color w:val="auto"/>
        </w:rPr>
        <w:t>Section 11.10</w:t>
      </w:r>
      <w:r>
        <w:rPr>
          <w:rFonts w:ascii="Times New Roman" w:cs="Times New Roman" w:eastAsia="Times New Roman" w:hAnsi="Times New Roman"/>
          <w:sz w:val="14"/>
          <w:szCs w:val="14"/>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1300"/>
          </w:cols>
          <w:pgMar w:left="300" w:top="287" w:right="29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420" w:firstLine="436"/>
        <w:spacing w:after="0" w:line="258" w:lineRule="auto"/>
        <w:tabs>
          <w:tab w:leader="none" w:pos="1188"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hereby agrees, on behalf of itself and each of its Affiliates that is a Secured Party, that, except as otherwise provided in any Loan Document or with the written consent of the Administrative Agent and the Required Lenders, it will not take any enforcement action, accelerate obligations under any of the Loan Documents, or exercise any right that it might otherwise have under applicable law to credit bid at foreclosure sales, UCC sales or other similar dispositions of Collateral.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10.</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AGENCY</w:t>
      </w:r>
    </w:p>
    <w:p>
      <w:pPr>
        <w:spacing w:after="0" w:line="235"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10.1</w:t>
      </w:r>
      <w:r>
        <w:rPr>
          <w:sz w:val="20"/>
          <w:szCs w:val="20"/>
          <w:color w:val="auto"/>
        </w:rPr>
        <w:tab/>
      </w:r>
      <w:r>
        <w:rPr>
          <w:rFonts w:ascii="Times New Roman" w:cs="Times New Roman" w:eastAsia="Times New Roman" w:hAnsi="Times New Roman"/>
          <w:sz w:val="14"/>
          <w:szCs w:val="14"/>
          <w:b w:val="1"/>
          <w:bCs w:val="1"/>
          <w:u w:val="single" w:color="auto"/>
          <w:color w:val="auto"/>
        </w:rPr>
        <w:t>Appointment and Authority</w:t>
      </w:r>
    </w:p>
    <w:p>
      <w:pPr>
        <w:spacing w:after="0" w:line="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t>
      </w:r>
    </w:p>
    <w:p>
      <w:pPr>
        <w:spacing w:after="0" w:line="1" w:lineRule="exact"/>
        <w:rPr>
          <w:sz w:val="20"/>
          <w:szCs w:val="20"/>
          <w:color w:val="auto"/>
        </w:rPr>
      </w:pPr>
    </w:p>
    <w:p>
      <w:pPr>
        <w:jc w:val="both"/>
        <w:ind w:left="420" w:firstLine="436"/>
        <w:spacing w:after="0" w:line="244" w:lineRule="auto"/>
        <w:tabs>
          <w:tab w:leader="none" w:pos="1169"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Lenders, L/C Issuer, and Swing Line Lender hereby irrevocably appoints Texas Capital Bank to act on its behalf as Administrative Agent hereunder and under the other Loan Documents and authorizes Administrative Agent to take such actions on its behalf and to exercise such powers as are delegated to Administrative Agent by the terms hereof or thereof, together with such actions and powers as are reasonably incidental thereto. The provisions of this </w:t>
      </w:r>
      <w:r>
        <w:rPr>
          <w:rFonts w:ascii="Times New Roman" w:cs="Times New Roman" w:eastAsia="Times New Roman" w:hAnsi="Times New Roman"/>
          <w:sz w:val="14"/>
          <w:szCs w:val="14"/>
          <w:b w:val="1"/>
          <w:bCs w:val="1"/>
          <w:i w:val="1"/>
          <w:iCs w:val="1"/>
          <w:color w:val="auto"/>
        </w:rPr>
        <w:t>Article 10</w:t>
      </w:r>
      <w:r>
        <w:rPr>
          <w:rFonts w:ascii="Times New Roman" w:cs="Times New Roman" w:eastAsia="Times New Roman" w:hAnsi="Times New Roman"/>
          <w:sz w:val="14"/>
          <w:szCs w:val="14"/>
          <w:color w:val="auto"/>
        </w:rPr>
        <w:t xml:space="preserve"> are solely for the benefit of Administrative Agent, Lenders, L/C Issuer, and Swing Line Lender, and no Loan Party shall have rights as a third-party beneficiary of any of such provisions. It is understood and agreed that the use of the term “agent” herein or in any other Loan Documents (or any other similar term) with reference to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1" w:lineRule="exact"/>
        <w:rPr>
          <w:rFonts w:ascii="Times New Roman" w:cs="Times New Roman" w:eastAsia="Times New Roman" w:hAnsi="Times New Roman"/>
          <w:sz w:val="14"/>
          <w:szCs w:val="14"/>
          <w:color w:val="auto"/>
        </w:rPr>
      </w:pPr>
    </w:p>
    <w:p>
      <w:pPr>
        <w:jc w:val="both"/>
        <w:ind w:left="420" w:firstLine="436"/>
        <w:spacing w:after="0" w:line="245" w:lineRule="auto"/>
        <w:tabs>
          <w:tab w:leader="none" w:pos="1192"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Administrative Agent shall also act as the “collateral agent” under the Loan Documents, and each of the Lenders (including for itself and its Affiliates in their capacities as potential Bank Product Providers) and L/C Issuer hereby irrevocably appoints and authorizes Administrative Agent to act as the agent of such Lender and L/C Issuer for purposes of acquiring, holding and enforcing any and all Liens on Collateral granted by any of the Loan Parties to secure any of the Obligations, together with such powers and discretion as are reasonably incidental thereto. In this connection, Administrative Agent, as “collateral agent” and any co-agents, sub-agents and attorneys-in-fact appointed by Administrative Agent pursuant to </w:t>
      </w:r>
      <w:r>
        <w:rPr>
          <w:rFonts w:ascii="Times New Roman" w:cs="Times New Roman" w:eastAsia="Times New Roman" w:hAnsi="Times New Roman"/>
          <w:sz w:val="14"/>
          <w:szCs w:val="14"/>
          <w:b w:val="1"/>
          <w:bCs w:val="1"/>
          <w:i w:val="1"/>
          <w:iCs w:val="1"/>
          <w:color w:val="auto"/>
        </w:rPr>
        <w:t>Section 10.5</w:t>
      </w:r>
      <w:r>
        <w:rPr>
          <w:rFonts w:ascii="Times New Roman" w:cs="Times New Roman" w:eastAsia="Times New Roman" w:hAnsi="Times New Roman"/>
          <w:sz w:val="14"/>
          <w:szCs w:val="14"/>
          <w:color w:val="auto"/>
        </w:rPr>
        <w:t xml:space="preserve"> for purposes of holding or enforcing any Lien on the Collateral (or any portion thereof) granted under the Security Documents, or for exercising any rights and remedies thereunder at the direction of Administrative Agent, shall be entitled to the benefits of all provisions of this </w:t>
      </w:r>
      <w:r>
        <w:rPr>
          <w:rFonts w:ascii="Times New Roman" w:cs="Times New Roman" w:eastAsia="Times New Roman" w:hAnsi="Times New Roman"/>
          <w:sz w:val="14"/>
          <w:szCs w:val="14"/>
          <w:b w:val="1"/>
          <w:bCs w:val="1"/>
          <w:i w:val="1"/>
          <w:iCs w:val="1"/>
          <w:color w:val="auto"/>
        </w:rPr>
        <w:t>Article 10</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Article 11</w:t>
      </w:r>
      <w:r>
        <w:rPr>
          <w:rFonts w:ascii="Times New Roman" w:cs="Times New Roman" w:eastAsia="Times New Roman" w:hAnsi="Times New Roman"/>
          <w:sz w:val="14"/>
          <w:szCs w:val="14"/>
          <w:color w:val="auto"/>
        </w:rPr>
        <w:t xml:space="preserve"> (including </w:t>
      </w:r>
      <w:r>
        <w:rPr>
          <w:rFonts w:ascii="Times New Roman" w:cs="Times New Roman" w:eastAsia="Times New Roman" w:hAnsi="Times New Roman"/>
          <w:sz w:val="14"/>
          <w:szCs w:val="14"/>
          <w:b w:val="1"/>
          <w:bCs w:val="1"/>
          <w:i w:val="1"/>
          <w:iCs w:val="1"/>
          <w:color w:val="auto"/>
        </w:rPr>
        <w:t>Section 11.1(b</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as though such co-agents, sub-agents and attorneys-in-fact were the “collateral agent” under the Loan Documents) as if set forth in full herein with respect thereto. Any collateral agent fee or other agency fee to be paid by the Loan Parties in connection with this Agreement may from time to time be separately agreed to solely by the Administrative Agent and the Borrower Representative in writing.</w:t>
      </w:r>
    </w:p>
    <w:p>
      <w:pPr>
        <w:spacing w:after="0" w:line="168"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b w:val="1"/>
          <w:bCs w:val="1"/>
          <w:u w:val="single" w:color="auto"/>
          <w:color w:val="auto"/>
        </w:rPr>
        <w:t>Rights as a Lender.</w:t>
      </w:r>
      <w:r>
        <w:rPr>
          <w:rFonts w:ascii="Times New Roman" w:cs="Times New Roman" w:eastAsia="Times New Roman" w:hAnsi="Times New Roman"/>
          <w:sz w:val="14"/>
          <w:szCs w:val="14"/>
          <w:color w:val="auto"/>
        </w:rPr>
        <w:t xml:space="preserve"> The Person serving as Administrative Agent hereunder shall have the same rights and powers in its capacity as a Lender as any other Lender and may exercise the same as though it were not Administrative Agent, and the term “Lender” or “Lenders” shall, unless otherwise expressly indicated or unless the context otherwise requires, include the Person serving as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Administrative Agent hereunder and without any duty to account therefor to Lenders.</w:t>
      </w:r>
    </w:p>
    <w:p>
      <w:pPr>
        <w:spacing w:after="0" w:line="2"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10.3</w:t>
      </w:r>
      <w:r>
        <w:rPr>
          <w:sz w:val="20"/>
          <w:szCs w:val="20"/>
          <w:color w:val="auto"/>
        </w:rPr>
        <w:tab/>
      </w:r>
      <w:r>
        <w:rPr>
          <w:rFonts w:ascii="Times New Roman" w:cs="Times New Roman" w:eastAsia="Times New Roman" w:hAnsi="Times New Roman"/>
          <w:sz w:val="14"/>
          <w:szCs w:val="14"/>
          <w:b w:val="1"/>
          <w:bCs w:val="1"/>
          <w:u w:val="single" w:color="auto"/>
          <w:color w:val="auto"/>
        </w:rPr>
        <w:t>Exculpatory Provisions.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1300"/>
          </w:cols>
          <w:pgMar w:left="300" w:top="287" w:right="299" w:bottom="1440" w:gutter="0" w:footer="0" w:header="0"/>
        </w:sectPr>
      </w:pPr>
    </w:p>
    <w:bookmarkStart w:id="185" w:name="page186"/>
    <w:bookmarkEnd w:id="185"/>
    <w:p>
      <w:pPr>
        <w:ind w:left="1026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8" w:lineRule="exact"/>
        <w:rPr>
          <w:sz w:val="20"/>
          <w:szCs w:val="20"/>
          <w:color w:val="auto"/>
        </w:rPr>
      </w:pPr>
    </w:p>
    <w:p>
      <w:pPr>
        <w:ind w:firstLine="436"/>
        <w:spacing w:after="0" w:line="268" w:lineRule="auto"/>
        <w:tabs>
          <w:tab w:leader="none" w:pos="791"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Agent shall not have any duties or obligations except those expressly set forth herein and in the other Loan Documents, and its duties hereunder shall be administrative in nature. Without limiting the generality of the foregoing, Administrative Agent:</w:t>
      </w:r>
    </w:p>
    <w:p>
      <w:pPr>
        <w:ind w:left="1140" w:hanging="272"/>
        <w:spacing w:after="0"/>
        <w:tabs>
          <w:tab w:leader="none" w:pos="1140" w:val="left"/>
        </w:tabs>
        <w:numPr>
          <w:ilvl w:val="1"/>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be subject to any fiduciary or other implied duties, regardless of whether a Default has occurred and is continuing;</w:t>
      </w:r>
    </w:p>
    <w:p>
      <w:pPr>
        <w:spacing w:after="0" w:line="37" w:lineRule="exact"/>
        <w:rPr>
          <w:rFonts w:ascii="Times New Roman" w:cs="Times New Roman" w:eastAsia="Times New Roman" w:hAnsi="Times New Roman"/>
          <w:sz w:val="14"/>
          <w:szCs w:val="14"/>
          <w:color w:val="auto"/>
        </w:rPr>
      </w:pPr>
    </w:p>
    <w:p>
      <w:pPr>
        <w:jc w:val="both"/>
        <w:ind w:left="440" w:firstLine="428"/>
        <w:spacing w:after="0" w:line="246" w:lineRule="auto"/>
        <w:tabs>
          <w:tab w:leader="none" w:pos="1205" w:val="left"/>
        </w:tabs>
        <w:numPr>
          <w:ilvl w:val="1"/>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shall not have any duty to take any discretionary action or exercise any discretionary powers, except discretionary rights and powers expressly contemplated hereby or by the other Loan Documents that Administrative Agent is required to exercise as directed in writing by Required Lenders (or such other number or percentage of Lenders as shall be expressly provided for herein or in the other Loan Documents);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Administrative Agent shall not be required to take any action that, in its opinion or upon the advice of its counsel, may expose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8" w:lineRule="exact"/>
        <w:rPr>
          <w:rFonts w:ascii="Times New Roman" w:cs="Times New Roman" w:eastAsia="Times New Roman" w:hAnsi="Times New Roman"/>
          <w:sz w:val="14"/>
          <w:szCs w:val="14"/>
          <w:color w:val="auto"/>
        </w:rPr>
      </w:pPr>
    </w:p>
    <w:p>
      <w:pPr>
        <w:jc w:val="both"/>
        <w:ind w:left="440" w:firstLine="428"/>
        <w:spacing w:after="0" w:line="259" w:lineRule="auto"/>
        <w:tabs>
          <w:tab w:leader="none" w:pos="1291" w:val="left"/>
        </w:tabs>
        <w:numPr>
          <w:ilvl w:val="1"/>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not, except as expressly set forth herein and in the other Loan Documents, have any duty to disclose, and shall not be liable for the failure to disclose, any information relating to any Loan Party or any of their respective Affiliates that is communicated to or obtained by the Person serving as Administrative Agent or any of its Affiliates in any capacity;</w:t>
      </w:r>
    </w:p>
    <w:p>
      <w:pPr>
        <w:ind w:left="440" w:right="20" w:firstLine="428"/>
        <w:spacing w:after="0" w:line="268" w:lineRule="auto"/>
        <w:tabs>
          <w:tab w:leader="none" w:pos="1255" w:val="left"/>
        </w:tabs>
        <w:numPr>
          <w:ilvl w:val="1"/>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be fully justified in failing or refusing to take any action hereunder or under any other Loan Document unless it shall first be indemnified to its satisfaction by Lenders pro rata against any and all liability, cost and expense that it may incur by reason of taking or continuing to take any such action; and</w:t>
      </w:r>
    </w:p>
    <w:p>
      <w:pPr>
        <w:jc w:val="both"/>
        <w:ind w:left="440" w:firstLine="428"/>
        <w:spacing w:after="0" w:line="254" w:lineRule="auto"/>
        <w:tabs>
          <w:tab w:leader="none" w:pos="1184" w:val="left"/>
        </w:tabs>
        <w:numPr>
          <w:ilvl w:val="1"/>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warrant or accept responsibility for, and shall not have any liability with respect to, the administration, submission or any other matter related to the rates in the definition of “Term SOFR”, “Adjusted Term SOFR” or with respect to any Benchmark Replacement or other rate (including, for the avoidance of doubt, the selection of such rate and any related spread or other adjustment) that is an alternative or replacement for or successor to any such rate.</w:t>
      </w:r>
    </w:p>
    <w:p>
      <w:pPr>
        <w:spacing w:after="0" w:line="1" w:lineRule="exact"/>
        <w:rPr>
          <w:rFonts w:ascii="Times New Roman" w:cs="Times New Roman" w:eastAsia="Times New Roman" w:hAnsi="Times New Roman"/>
          <w:sz w:val="14"/>
          <w:szCs w:val="14"/>
          <w:color w:val="auto"/>
        </w:rPr>
      </w:pPr>
    </w:p>
    <w:p>
      <w:pPr>
        <w:jc w:val="both"/>
        <w:ind w:firstLine="436"/>
        <w:spacing w:after="0" w:line="249" w:lineRule="auto"/>
        <w:tabs>
          <w:tab w:leader="none" w:pos="738"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Administrative Agent shall not be liable for any action taken or not taken by it (i) with the consent or at the request of Required Lenders or Required Supermajority Lenders, as the case may be (or such other number or percentage of Lenders as shall be necessary, or as Administrative Agent shall believe in good faith shall be necessary, under the circumstances as provided in </w:t>
      </w:r>
      <w:r>
        <w:rPr>
          <w:rFonts w:ascii="Times New Roman" w:cs="Times New Roman" w:eastAsia="Times New Roman" w:hAnsi="Times New Roman"/>
          <w:sz w:val="14"/>
          <w:szCs w:val="14"/>
          <w:b w:val="1"/>
          <w:bCs w:val="1"/>
          <w:i w:val="1"/>
          <w:iCs w:val="1"/>
          <w:color w:val="auto"/>
        </w:rPr>
        <w:t>Sections 9.2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10.9</w:t>
      </w:r>
      <w:r>
        <w:rPr>
          <w:rFonts w:ascii="Times New Roman" w:cs="Times New Roman" w:eastAsia="Times New Roman" w:hAnsi="Times New Roman"/>
          <w:sz w:val="14"/>
          <w:szCs w:val="14"/>
          <w:color w:val="auto"/>
        </w:rPr>
        <w:t xml:space="preserve">), or (ii) in the absence of its own gross negligence or willful misconduct as determined by a court of competent jurisdiction by final and nonappealable judgment. </w:t>
      </w:r>
      <w:r>
        <w:rPr>
          <w:rFonts w:ascii="Times New Roman" w:cs="Times New Roman" w:eastAsia="Times New Roman" w:hAnsi="Times New Roman"/>
          <w:sz w:val="14"/>
          <w:szCs w:val="14"/>
          <w:b w:val="1"/>
          <w:bCs w:val="1"/>
          <w:color w:val="auto"/>
        </w:rPr>
        <w:t>SUCH LIMITATION OF LIABILITY SHALL APPLY REGARDLESS OF WHETHER THE LIABILITY ARISES FROM THE SOLE, CONCURRENT,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CONTRIBUTORY OR COMPARATIVE NEGLIGENCE OF ADMINISTRATIVE AGENT. </w:t>
      </w:r>
      <w:r>
        <w:rPr>
          <w:rFonts w:ascii="Times New Roman" w:cs="Times New Roman" w:eastAsia="Times New Roman" w:hAnsi="Times New Roman"/>
          <w:sz w:val="14"/>
          <w:szCs w:val="14"/>
          <w:color w:val="auto"/>
        </w:rPr>
        <w:t>Administrative Agent shall be deemed not to have knowledge of any Default unless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until notice describing such Default is given to Administrative Agent in writing by any Loan Party, a Lender, L/C Issuer, or Swing Line Lender.</w:t>
      </w:r>
    </w:p>
    <w:p>
      <w:pPr>
        <w:spacing w:after="0" w:line="5" w:lineRule="exact"/>
        <w:rPr>
          <w:rFonts w:ascii="Times New Roman" w:cs="Times New Roman" w:eastAsia="Times New Roman" w:hAnsi="Times New Roman"/>
          <w:sz w:val="14"/>
          <w:szCs w:val="14"/>
          <w:color w:val="auto"/>
        </w:rPr>
      </w:pPr>
    </w:p>
    <w:p>
      <w:pPr>
        <w:jc w:val="both"/>
        <w:ind w:firstLine="436"/>
        <w:spacing w:after="0" w:line="255" w:lineRule="auto"/>
        <w:tabs>
          <w:tab w:leader="none" w:pos="756"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Administrative Agent nor any Related Party thereof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w:t>
      </w:r>
    </w:p>
    <w:p>
      <w:pPr>
        <w:spacing w:after="0" w:line="36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0880"/>
          </w:cols>
          <w:pgMar w:left="720" w:top="287" w:right="29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jc w:val="both"/>
        <w:ind w:left="420"/>
        <w:spacing w:after="0" w:line="269" w:lineRule="auto"/>
        <w:rPr>
          <w:sz w:val="20"/>
          <w:szCs w:val="20"/>
          <w:color w:val="auto"/>
        </w:rPr>
      </w:pPr>
      <w:r>
        <w:rPr>
          <w:rFonts w:ascii="Times New Roman" w:cs="Times New Roman" w:eastAsia="Times New Roman" w:hAnsi="Times New Roman"/>
          <w:sz w:val="14"/>
          <w:szCs w:val="14"/>
          <w:color w:val="auto"/>
        </w:rPr>
        <w:t xml:space="preserve">other agreement, instrument or document, or (v) the satisfaction of any condition set forth in </w:t>
      </w:r>
      <w:r>
        <w:rPr>
          <w:rFonts w:ascii="Times New Roman" w:cs="Times New Roman" w:eastAsia="Times New Roman" w:hAnsi="Times New Roman"/>
          <w:sz w:val="14"/>
          <w:szCs w:val="14"/>
          <w:b w:val="1"/>
          <w:bCs w:val="1"/>
          <w:i w:val="1"/>
          <w:iCs w:val="1"/>
          <w:color w:val="auto"/>
        </w:rPr>
        <w:t>Article 4</w:t>
      </w:r>
      <w:r>
        <w:rPr>
          <w:rFonts w:ascii="Times New Roman" w:cs="Times New Roman" w:eastAsia="Times New Roman" w:hAnsi="Times New Roman"/>
          <w:sz w:val="14"/>
          <w:szCs w:val="14"/>
          <w:color w:val="auto"/>
        </w:rPr>
        <w:t xml:space="preserve"> or elsewhere herein, other than to confirm receipt of items expressly required to be delivered to Administrative Agent.</w:t>
      </w:r>
    </w:p>
    <w:p>
      <w:pPr>
        <w:spacing w:after="0" w:line="1"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4"/>
          <w:szCs w:val="14"/>
          <w:color w:val="auto"/>
        </w:rPr>
        <w:t xml:space="preserve">Section 10.4 </w:t>
      </w:r>
      <w:r>
        <w:rPr>
          <w:rFonts w:ascii="Times New Roman" w:cs="Times New Roman" w:eastAsia="Times New Roman" w:hAnsi="Times New Roman"/>
          <w:sz w:val="14"/>
          <w:szCs w:val="14"/>
          <w:b w:val="1"/>
          <w:bCs w:val="1"/>
          <w:u w:val="single" w:color="auto"/>
          <w:color w:val="auto"/>
        </w:rPr>
        <w:t>Reliance by Administrative Agent.</w:t>
      </w:r>
      <w:r>
        <w:rPr>
          <w:rFonts w:ascii="Times New Roman" w:cs="Times New Roman" w:eastAsia="Times New Roman" w:hAnsi="Times New Roman"/>
          <w:sz w:val="14"/>
          <w:szCs w:val="14"/>
          <w:color w:val="auto"/>
        </w:rPr>
        <w:t xml:space="preserv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Administrative Agent also may rely upon any statement made to it orally or by telephone and believed by it to have been made by the proper Person, and shall not incur any liability for relying thereon. In determining compliance with any condition hereunder to the making of a Credit Extension, that by its terms must be fulfilled to the satisfaction of a Lender, L/C Issuer, or Swing Line Lender, Administrative Agent may presume that such condition is satisfactory to such Lender, L/C Issuer, or Swing Line Lender unless Administrative Agent shall have received notice to the contrary from such Lender prior to the making of such Credit Extension. Administrative Agent may consult with legal counsel (who may be counsel for any Loan Party), independent accountants and other experts selected by it, and shall not be liable for any action taken or not taken by it in accordance with the advice of any such counsel, accountants or experts.</w:t>
      </w:r>
    </w:p>
    <w:p>
      <w:pPr>
        <w:spacing w:after="0" w:line="175"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 xml:space="preserve">Section 10.5 Delegation of Duties. Administrative Agent may perform any and all of its duties and exercise its rights and powers hereunder or under any other Loan Document by or through any one or more sub agents appointed by Administrative Agent. Administrative Agent and any such sub 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4"/>
          <w:szCs w:val="14"/>
          <w:b w:val="1"/>
          <w:bCs w:val="1"/>
          <w:i w:val="1"/>
          <w:iCs w:val="1"/>
          <w:color w:val="auto"/>
        </w:rPr>
        <w:t>Article 10</w:t>
      </w:r>
      <w:r>
        <w:rPr>
          <w:rFonts w:ascii="Times New Roman" w:cs="Times New Roman" w:eastAsia="Times New Roman" w:hAnsi="Times New Roman"/>
          <w:sz w:val="14"/>
          <w:szCs w:val="14"/>
          <w:color w:val="auto"/>
        </w:rPr>
        <w:t xml:space="preserve"> shall apply to any such sub agent and to the Related Parties of Administrative Agent and any such sub agent, and shall apply to their respective activities in connection with the syndication of the Revolving Credit Facility as well as activities as Administrative Agent. Administrative Agent shall not be responsible for the negligence or misconduct of any sub-agents except to the extent that a court of competent jurisdiction determines in a final and non-appealable judgment that Administrative Agent acted with gross negligence or willful misconduct in the selection of such sub agents.</w:t>
      </w:r>
    </w:p>
    <w:p>
      <w:pPr>
        <w:spacing w:after="0" w:line="6"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10.6</w:t>
        <w:tab/>
        <w:t>Resignation or Removal of Administrative Agent</w:t>
      </w:r>
    </w:p>
    <w:p>
      <w:pPr>
        <w:spacing w:after="0" w:line="28" w:lineRule="exact"/>
        <w:rPr>
          <w:sz w:val="20"/>
          <w:szCs w:val="20"/>
          <w:color w:val="auto"/>
        </w:rPr>
      </w:pPr>
    </w:p>
    <w:p>
      <w:pPr>
        <w:jc w:val="both"/>
        <w:ind w:left="420" w:firstLine="436"/>
        <w:spacing w:after="0" w:line="246" w:lineRule="auto"/>
        <w:tabs>
          <w:tab w:leader="none" w:pos="1158"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Agent may at any time give notice of its resignation to Lenders, L/C Issuer, Swing Line Lender and Borrowers. Upon receipt of any such notice of resignation, Required Lenders shall have the right, in consultation with Borrowers (so long as no Event of Default has occurred and is continuing), to appoint a successor, which shall be a bank with an office in Texas, or an Affiliate of any such bank with an office in Texas. If no such successor shall have been so appointed by Required Lenders and shall have accepted such appointment within thirty (30) days after the retiring Administrative Agent gives notice of its resignation (or such earlier day as shall be agreed by Required Lenders) (the “</w:t>
      </w:r>
      <w:r>
        <w:rPr>
          <w:rFonts w:ascii="Times New Roman" w:cs="Times New Roman" w:eastAsia="Times New Roman" w:hAnsi="Times New Roman"/>
          <w:sz w:val="14"/>
          <w:szCs w:val="14"/>
          <w:b w:val="1"/>
          <w:bCs w:val="1"/>
          <w:i w:val="1"/>
          <w:iCs w:val="1"/>
          <w:color w:val="auto"/>
        </w:rPr>
        <w:t>Resignation Effective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Date</w:t>
      </w:r>
      <w:r>
        <w:rPr>
          <w:rFonts w:ascii="Times New Roman" w:cs="Times New Roman" w:eastAsia="Times New Roman" w:hAnsi="Times New Roman"/>
          <w:sz w:val="14"/>
          <w:szCs w:val="14"/>
          <w:color w:val="auto"/>
        </w:rPr>
        <w:t>”), then the retiring Administrative Agent may (but shall not be obligated to), on behalf of Lenders, L/C Issuer, and Swing Line Lender, appoint a successor Administrative Agent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meeting the qualifications set forth above;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no event shall any successor Administrative Agent be a Defaulting Lender. Whether or not a successor has been appointed, such resignation shall become effective in accordance with such notice on the Resignation Effective Date. After the Resignation Effective Date, the provisions of this </w:t>
      </w:r>
      <w:r>
        <w:rPr>
          <w:rFonts w:ascii="Times New Roman" w:cs="Times New Roman" w:eastAsia="Times New Roman" w:hAnsi="Times New Roman"/>
          <w:sz w:val="14"/>
          <w:szCs w:val="14"/>
          <w:b w:val="1"/>
          <w:bCs w:val="1"/>
          <w:i w:val="1"/>
          <w:iCs w:val="1"/>
          <w:color w:val="auto"/>
        </w:rPr>
        <w:t>Article 10</w:t>
      </w:r>
      <w:r>
        <w:rPr>
          <w:rFonts w:ascii="Times New Roman" w:cs="Times New Roman" w:eastAsia="Times New Roman" w:hAnsi="Times New Roman"/>
          <w:sz w:val="14"/>
          <w:szCs w:val="14"/>
          <w:color w:val="auto"/>
        </w:rPr>
        <w:t xml:space="preserve"> relating to or indemnifying or releasing Administrative Agent shall inure to its benefit as to any actions taken or omitted to be taken by it while it was Administrative Agent under this Agreement and the other Loan Documents.</w:t>
      </w:r>
    </w:p>
    <w:p>
      <w:pPr>
        <w:spacing w:after="0" w:line="169" w:lineRule="exact"/>
        <w:rPr>
          <w:rFonts w:ascii="Times New Roman" w:cs="Times New Roman" w:eastAsia="Times New Roman" w:hAnsi="Times New Roman"/>
          <w:sz w:val="14"/>
          <w:szCs w:val="14"/>
          <w:color w:val="auto"/>
        </w:rPr>
      </w:pPr>
    </w:p>
    <w:p>
      <w:pPr>
        <w:jc w:val="both"/>
        <w:ind w:left="420" w:firstLine="436"/>
        <w:spacing w:after="0" w:line="252" w:lineRule="auto"/>
        <w:tabs>
          <w:tab w:leader="none" w:pos="1234"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Person serving as Administrative Agent is a Defaulting Lender pursuant to </w:t>
      </w:r>
      <w:r>
        <w:rPr>
          <w:rFonts w:ascii="Times New Roman" w:cs="Times New Roman" w:eastAsia="Times New Roman" w:hAnsi="Times New Roman"/>
          <w:sz w:val="14"/>
          <w:szCs w:val="14"/>
          <w:b w:val="1"/>
          <w:bCs w:val="1"/>
          <w:i w:val="1"/>
          <w:iCs w:val="1"/>
          <w:color w:val="auto"/>
        </w:rPr>
        <w:t>clause (d)</w:t>
      </w:r>
      <w:r>
        <w:rPr>
          <w:rFonts w:ascii="Times New Roman" w:cs="Times New Roman" w:eastAsia="Times New Roman" w:hAnsi="Times New Roman"/>
          <w:sz w:val="14"/>
          <w:szCs w:val="14"/>
          <w:color w:val="auto"/>
        </w:rPr>
        <w:t xml:space="preserve"> of the definition thereof, Required Lenders may, to the extent permitted by applicable Law, by notice in writing to the Borrower Representative and such Person remove such Person as Administrative Agent and, in consultation with the Borrower Representative, appoint a successor. If no such successor shall have been so appointed by Required Lenders and shall have accepted such appointment within thirty (30) days (or such earlier day as shall be agreed by Required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1300"/>
          </w:cols>
          <w:pgMar w:left="300" w:top="287" w:right="29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Lenders) (the “</w:t>
      </w:r>
      <w:r>
        <w:rPr>
          <w:rFonts w:ascii="Times New Roman" w:cs="Times New Roman" w:eastAsia="Times New Roman" w:hAnsi="Times New Roman"/>
          <w:sz w:val="14"/>
          <w:szCs w:val="14"/>
          <w:b w:val="1"/>
          <w:bCs w:val="1"/>
          <w:i w:val="1"/>
          <w:iCs w:val="1"/>
          <w:color w:val="auto"/>
        </w:rPr>
        <w:t>Removal Effective Date</w:t>
      </w:r>
      <w:r>
        <w:rPr>
          <w:rFonts w:ascii="Times New Roman" w:cs="Times New Roman" w:eastAsia="Times New Roman" w:hAnsi="Times New Roman"/>
          <w:sz w:val="14"/>
          <w:szCs w:val="14"/>
          <w:color w:val="auto"/>
        </w:rPr>
        <w:t>”), then such removal shall nonetheless become effective in accordance with such notice on the Removal Effective Date.</w:t>
      </w:r>
    </w:p>
    <w:p>
      <w:pPr>
        <w:spacing w:after="0" w:line="41" w:lineRule="exact"/>
        <w:rPr>
          <w:sz w:val="20"/>
          <w:szCs w:val="20"/>
          <w:color w:val="auto"/>
        </w:rPr>
      </w:pPr>
    </w:p>
    <w:p>
      <w:pPr>
        <w:jc w:val="both"/>
        <w:ind w:left="420" w:firstLine="436"/>
        <w:spacing w:after="0" w:line="243" w:lineRule="auto"/>
        <w:tabs>
          <w:tab w:leader="none" w:pos="1187"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held by Administrative Agent on behalf of Secured Parties under any of the Loan Documents, the retiring or removed Administrative Agent shall continue to hold such Collateral until such time as a successor Administrative Agent is appointed) and (ii) except for any indemnity, fee or expense payments owed to the retiring or removed Administrative Agent, all payments, communications and determinations provided to be made by, to or through Administrative Agent shall instead be made by or to each Lender, L/C Issuer, or Swing Line Lender, as applicable, directly, until such time, if any, as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Borrowers to a successor Administrative Agent shall be the same as those payable to its predecessor unless otherwise agreed between Borrowers and such successor. After the retiring or removed Administrative Agent’s resignation or removal hereunder and under the other Loan Documents, the provisions of this </w:t>
      </w:r>
      <w:r>
        <w:rPr>
          <w:rFonts w:ascii="Times New Roman" w:cs="Times New Roman" w:eastAsia="Times New Roman" w:hAnsi="Times New Roman"/>
          <w:sz w:val="14"/>
          <w:szCs w:val="14"/>
          <w:b w:val="1"/>
          <w:bCs w:val="1"/>
          <w:i w:val="1"/>
          <w:iCs w:val="1"/>
          <w:color w:val="auto"/>
        </w:rPr>
        <w:t>Article 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Section 11.1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Section 11.2</w:t>
      </w:r>
      <w:r>
        <w:rPr>
          <w:rFonts w:ascii="Times New Roman" w:cs="Times New Roman" w:eastAsia="Times New Roman" w:hAnsi="Times New Roman"/>
          <w:sz w:val="14"/>
          <w:szCs w:val="14"/>
          <w:color w:val="auto"/>
        </w:rPr>
        <w:t xml:space="preserve"> shall continue in effect for the benefit of such retiring or removed Administrative Agent, its sub agents and their respective Related Parties in respect of any actions taken or omitted to be taken by any of them while the retiring or removed Administrative Agent was acting as Administrative Agent.</w:t>
      </w:r>
    </w:p>
    <w:p>
      <w:pPr>
        <w:spacing w:after="0" w:line="11" w:lineRule="exact"/>
        <w:rPr>
          <w:rFonts w:ascii="Times New Roman" w:cs="Times New Roman" w:eastAsia="Times New Roman" w:hAnsi="Times New Roman"/>
          <w:sz w:val="14"/>
          <w:szCs w:val="14"/>
          <w:color w:val="auto"/>
        </w:rPr>
      </w:pPr>
    </w:p>
    <w:p>
      <w:pPr>
        <w:jc w:val="both"/>
        <w:ind w:left="420" w:firstLine="436"/>
        <w:spacing w:after="0" w:line="245" w:lineRule="auto"/>
        <w:tabs>
          <w:tab w:leader="none" w:pos="1174"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resignation by Texas Capital Bank as Administrative Agent pursuant to this </w:t>
      </w:r>
      <w:r>
        <w:rPr>
          <w:rFonts w:ascii="Times New Roman" w:cs="Times New Roman" w:eastAsia="Times New Roman" w:hAnsi="Times New Roman"/>
          <w:sz w:val="14"/>
          <w:szCs w:val="14"/>
          <w:b w:val="1"/>
          <w:bCs w:val="1"/>
          <w:i w:val="1"/>
          <w:iCs w:val="1"/>
          <w:color w:val="auto"/>
        </w:rPr>
        <w:t>Section 10.6</w:t>
      </w:r>
      <w:r>
        <w:rPr>
          <w:rFonts w:ascii="Times New Roman" w:cs="Times New Roman" w:eastAsia="Times New Roman" w:hAnsi="Times New Roman"/>
          <w:sz w:val="14"/>
          <w:szCs w:val="14"/>
          <w:color w:val="auto"/>
        </w:rPr>
        <w:t xml:space="preserve"> shall also constitute its resignation as L/C Issuer and Swing Line Lender unless the notice thereof otherwise provides. If Texas Capital Bank resigns as an L/C Issuer, it shall retain all the rights, powers, privileges and duties of L/C Issuer hereunder with respect to all Letters of Credit outstanding as of the effective date of its resignation as L/C Issuer and all L/C Obligations with respect thereto, including the right to require Lenders to make Revolving Credit Loans or fund risk participations in Unreimbursed Amounts pursuant to </w:t>
      </w:r>
      <w:r>
        <w:rPr>
          <w:rFonts w:ascii="Times New Roman" w:cs="Times New Roman" w:eastAsia="Times New Roman" w:hAnsi="Times New Roman"/>
          <w:sz w:val="14"/>
          <w:szCs w:val="14"/>
          <w:b w:val="1"/>
          <w:bCs w:val="1"/>
          <w:i w:val="1"/>
          <w:iCs w:val="1"/>
          <w:color w:val="auto"/>
        </w:rPr>
        <w:t>Section 2.2(c)</w:t>
      </w:r>
      <w:r>
        <w:rPr>
          <w:rFonts w:ascii="Times New Roman" w:cs="Times New Roman" w:eastAsia="Times New Roman" w:hAnsi="Times New Roman"/>
          <w:sz w:val="14"/>
          <w:szCs w:val="14"/>
          <w:color w:val="auto"/>
        </w:rPr>
        <w:t xml:space="preserve">. If Texas Capital Bank resigns as Swing Line Lender, it shall retain all the rights of Swing Line Lender provided for hereunder with respect to Swing Line Loans made by it and outstanding as of the effective date of such resignation, including the right to require Lenders to make Revolving Credit Loans or fund risk participations in outstanding Swing Line Loans pursuant to </w:t>
      </w:r>
      <w:r>
        <w:rPr>
          <w:rFonts w:ascii="Times New Roman" w:cs="Times New Roman" w:eastAsia="Times New Roman" w:hAnsi="Times New Roman"/>
          <w:sz w:val="14"/>
          <w:szCs w:val="14"/>
          <w:b w:val="1"/>
          <w:bCs w:val="1"/>
          <w:i w:val="1"/>
          <w:iCs w:val="1"/>
          <w:color w:val="auto"/>
        </w:rPr>
        <w:t>Section 2.3(c)</w:t>
      </w:r>
      <w:r>
        <w:rPr>
          <w:rFonts w:ascii="Times New Roman" w:cs="Times New Roman" w:eastAsia="Times New Roman" w:hAnsi="Times New Roman"/>
          <w:sz w:val="14"/>
          <w:szCs w:val="14"/>
          <w:color w:val="auto"/>
        </w:rPr>
        <w:t>. Upon the appointment by Borrowers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(ii) the retiring L/C Issuer and Swing 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Texas Capital Bank to effectively assume the obligations of Texas Capital Bank with respect to such Letters of Credit.</w:t>
      </w:r>
    </w:p>
    <w:p>
      <w:pPr>
        <w:spacing w:after="0" w:line="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4"/>
          <w:szCs w:val="14"/>
          <w:color w:val="auto"/>
        </w:rPr>
        <w:t xml:space="preserve">Section 10.7 </w:t>
      </w:r>
      <w:r>
        <w:rPr>
          <w:rFonts w:ascii="Times New Roman" w:cs="Times New Roman" w:eastAsia="Times New Roman" w:hAnsi="Times New Roman"/>
          <w:sz w:val="14"/>
          <w:szCs w:val="14"/>
          <w:b w:val="1"/>
          <w:bCs w:val="1"/>
          <w:u w:val="single" w:color="auto"/>
          <w:color w:val="auto"/>
        </w:rPr>
        <w:t>Non-Reliance on Administrative Agent and Other Lenders.</w:t>
      </w:r>
      <w:r>
        <w:rPr>
          <w:rFonts w:ascii="Times New Roman" w:cs="Times New Roman" w:eastAsia="Times New Roman" w:hAnsi="Times New Roman"/>
          <w:sz w:val="14"/>
          <w:szCs w:val="14"/>
          <w:color w:val="auto"/>
        </w:rPr>
        <w:t xml:space="preserve"> Each Lender, L/C Issuer, and Swing Line Lender expressly acknowledges that neither Administrative Agent nor any other Lender nor any Related Party thereto has made any representation or warranty to such Person and that no act by Administrative Agent or any other Lender hereafter taken, including any review of the affairs of any Loan Party, shall be deemed to constitute any representation or warranty by Administrative Agent or any Lender to any other Lender. Each Lender, Swing Line Lender and L/C Issuer acknowledges that it has,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1300"/>
          </w:cols>
          <w:pgMar w:left="300" w:top="287" w:right="29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independently and without reliance upon Administrative Agent or any other Lender or any of their Related Parties and based on such documents and information as it has deemed appropriate, made its own credit analysis and decision to enter into this Agreement. Each Lender, L/C Issuer, and Swing Line Lender also acknowledges that it will, independently and without reliance upon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Except for notices, reports and other documents expressly required to be furnished to the Lenders or Swing Line Lender by Administrative Agent hereunder, Administrative Agent shall not have any duty or responsibility to provide any Lender or Swing Line Lender with any credit or other information concerning the business, operations, Property, condition (financial or otherwise), or creditworthiness of any Loan Party or the value of the Collateral or other Properties of any Loan Party or any other Person which may come into the possession of Administrative Agent or any of its officers, directors, employees, agents, attorneys-in-fact or Affiliates.</w:t>
      </w:r>
    </w:p>
    <w:p>
      <w:pPr>
        <w:spacing w:after="0" w:line="8"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Section 10.8 Administrative Agent May File Proofs of Claim. In case of the pendency of any proceeding under any Debtor Relief Law or any other judicial proceeding relative to any Loan Party, Administrative Agent (irrespective of whether the principal of any Loan or L/C Obligation shall then be due and payable as herein expressed or by declaration or otherwise and irrespective of whether Administrative Agent shall have made any demand on any Loan Party) shall be entitled and empowered (but not obligated) by intervention in such proceeding or otherwise:</w:t>
      </w:r>
    </w:p>
    <w:p>
      <w:pPr>
        <w:spacing w:after="0" w:line="1" w:lineRule="exact"/>
        <w:rPr>
          <w:sz w:val="20"/>
          <w:szCs w:val="20"/>
          <w:color w:val="auto"/>
        </w:rPr>
      </w:pPr>
    </w:p>
    <w:p>
      <w:pPr>
        <w:jc w:val="both"/>
        <w:ind w:left="420" w:firstLine="436"/>
        <w:spacing w:after="0" w:line="251" w:lineRule="auto"/>
        <w:tabs>
          <w:tab w:leader="none" w:pos="1161"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file and prove a claim for the whole amount of the principal and interest owing and unpaid in respect of the Loans, L/C Obligations and all other Obligations under the Loan Documents that are owing and unpaid and to file such other documents as may be necessary or advisable in order to have the claims of Lenders, L/C Issuer, Swing Line Lender, and Administrative Agent (including any claim for the reasonable compensation, expenses, disbursements and advances of Lenders, L/C Issuer, Swing Line Lender, and Administrative Agent and their respective agents and counsel and all other amounts due Lenders, L/C Issuer, Swing Line Lender, and Administrative Agent under </w:t>
      </w:r>
      <w:r>
        <w:rPr>
          <w:rFonts w:ascii="Times New Roman" w:cs="Times New Roman" w:eastAsia="Times New Roman" w:hAnsi="Times New Roman"/>
          <w:sz w:val="14"/>
          <w:szCs w:val="14"/>
          <w:b w:val="1"/>
          <w:bCs w:val="1"/>
          <w:i w:val="1"/>
          <w:iCs w:val="1"/>
          <w:color w:val="auto"/>
        </w:rPr>
        <w:t>Section 11.1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Section 11.2</w:t>
      </w:r>
      <w:r>
        <w:rPr>
          <w:rFonts w:ascii="Times New Roman" w:cs="Times New Roman" w:eastAsia="Times New Roman" w:hAnsi="Times New Roman"/>
          <w:sz w:val="14"/>
          <w:szCs w:val="14"/>
          <w:color w:val="auto"/>
        </w:rPr>
        <w:t>) allowed in such judicial proceeding; and</w:t>
      </w:r>
    </w:p>
    <w:p>
      <w:pPr>
        <w:spacing w:after="0" w:line="4" w:lineRule="exact"/>
        <w:rPr>
          <w:rFonts w:ascii="Times New Roman" w:cs="Times New Roman" w:eastAsia="Times New Roman" w:hAnsi="Times New Roman"/>
          <w:sz w:val="14"/>
          <w:szCs w:val="14"/>
          <w:color w:val="auto"/>
        </w:rPr>
      </w:pPr>
    </w:p>
    <w:p>
      <w:pPr>
        <w:jc w:val="both"/>
        <w:ind w:left="420" w:firstLine="436"/>
        <w:spacing w:after="0" w:line="248" w:lineRule="auto"/>
        <w:tabs>
          <w:tab w:leader="none" w:pos="1232"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L/C Issuer and Swing Line Lender to make such payments to Administrative Agent and, in the event that Administrative Agent shall consent to the making of such payments directly to Lenders, L/C Issuer, and Swing Line Lender, as applicable, to pay to Administrative Agent any amount due for the reasonable compensation, expenses, disbursements and advances of Administrative Agent and its agents and counsel, and any other amounts due Administrative Agent under </w:t>
      </w:r>
      <w:r>
        <w:rPr>
          <w:rFonts w:ascii="Times New Roman" w:cs="Times New Roman" w:eastAsia="Times New Roman" w:hAnsi="Times New Roman"/>
          <w:sz w:val="14"/>
          <w:szCs w:val="14"/>
          <w:b w:val="1"/>
          <w:bCs w:val="1"/>
          <w:i w:val="1"/>
          <w:iCs w:val="1"/>
          <w:color w:val="auto"/>
        </w:rPr>
        <w:t>Section 11.1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Section 11.2</w:t>
      </w:r>
      <w:r>
        <w:rPr>
          <w:rFonts w:ascii="Times New Roman" w:cs="Times New Roman" w:eastAsia="Times New Roman" w:hAnsi="Times New Roman"/>
          <w:sz w:val="14"/>
          <w:szCs w:val="14"/>
          <w:color w:val="auto"/>
        </w:rPr>
        <w:t>.</w:t>
      </w:r>
    </w:p>
    <w:p>
      <w:pPr>
        <w:spacing w:after="0" w:line="3"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10.9  </w:t>
      </w:r>
      <w:r>
        <w:rPr>
          <w:rFonts w:ascii="Times New Roman" w:cs="Times New Roman" w:eastAsia="Times New Roman" w:hAnsi="Times New Roman"/>
          <w:sz w:val="14"/>
          <w:szCs w:val="14"/>
          <w:b w:val="1"/>
          <w:bCs w:val="1"/>
          <w:u w:val="single" w:color="auto"/>
          <w:color w:val="auto"/>
        </w:rPr>
        <w:t>Collateral and Guaranty Matters.</w:t>
      </w:r>
    </w:p>
    <w:p>
      <w:pPr>
        <w:spacing w:after="0" w:line="39" w:lineRule="exact"/>
        <w:rPr>
          <w:sz w:val="20"/>
          <w:szCs w:val="20"/>
          <w:color w:val="auto"/>
        </w:rPr>
      </w:pPr>
    </w:p>
    <w:p>
      <w:pPr>
        <w:ind w:left="1160" w:hanging="304"/>
        <w:spacing w:after="0"/>
        <w:tabs>
          <w:tab w:leader="none" w:pos="116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Secured Parties irrevocably authorize Administrative Agent, at its option and in its discretion:</w:t>
      </w:r>
    </w:p>
    <w:p>
      <w:pPr>
        <w:spacing w:after="0" w:line="37" w:lineRule="exact"/>
        <w:rPr>
          <w:rFonts w:ascii="Times New Roman" w:cs="Times New Roman" w:eastAsia="Times New Roman" w:hAnsi="Times New Roman"/>
          <w:sz w:val="14"/>
          <w:szCs w:val="14"/>
          <w:color w:val="auto"/>
        </w:rPr>
      </w:pPr>
    </w:p>
    <w:p>
      <w:pPr>
        <w:jc w:val="both"/>
        <w:ind w:left="860" w:firstLine="428"/>
        <w:spacing w:after="0" w:line="248" w:lineRule="auto"/>
        <w:tabs>
          <w:tab w:leader="none" w:pos="1600" w:val="left"/>
        </w:tabs>
        <w:numPr>
          <w:ilvl w:val="1"/>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release any Lien on any Property granted to or held by Administrative Agent under any Loan Document (A) upon termination of all Commitments and payment in full of all Obligations (other than (1) contingent indemnification obligations and (2) obligations and liabilities under Bank Product Agreements as to which arrangements satisfactory to the applicable Bank Product Provider shall have been made) and the expiration or termination of all Letters of Credit (other than Letters of Credit as to which other arrangements satisfactory to Administrative Agent and L/C Issuer shall have been made), (B) that is sold or otherwise disposed of or to be sold or otherwise disposed of as part of or in connection with any sale or other disposition permitted under the Loan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1300"/>
          </w:cols>
          <w:pgMar w:left="300" w:top="287" w:right="299" w:bottom="1440" w:gutter="0" w:footer="0" w:header="0"/>
        </w:sectPr>
      </w:pPr>
    </w:p>
    <w:bookmarkStart w:id="189" w:name="page190"/>
    <w:bookmarkEnd w:id="189"/>
    <w:p>
      <w:pPr>
        <w:ind w:left="1068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 xml:space="preserve">Documents, or (C) if approved, authorized or ratified in writing by Required Lenders, Required Supermajority Lenders or all Lenders, as applicable, under </w:t>
      </w:r>
      <w:r>
        <w:rPr>
          <w:rFonts w:ascii="Times New Roman" w:cs="Times New Roman" w:eastAsia="Times New Roman" w:hAnsi="Times New Roman"/>
          <w:sz w:val="14"/>
          <w:szCs w:val="14"/>
          <w:b w:val="1"/>
          <w:bCs w:val="1"/>
          <w:i w:val="1"/>
          <w:iCs w:val="1"/>
          <w:color w:val="auto"/>
        </w:rPr>
        <w:t>Section 11.10</w:t>
      </w:r>
      <w:r>
        <w:rPr>
          <w:rFonts w:ascii="Times New Roman" w:cs="Times New Roman" w:eastAsia="Times New Roman" w:hAnsi="Times New Roman"/>
          <w:sz w:val="14"/>
          <w:szCs w:val="14"/>
          <w:color w:val="auto"/>
        </w:rPr>
        <w:t>;</w:t>
      </w:r>
    </w:p>
    <w:p>
      <w:pPr>
        <w:spacing w:after="0" w:line="41" w:lineRule="exact"/>
        <w:rPr>
          <w:sz w:val="20"/>
          <w:szCs w:val="20"/>
          <w:color w:val="auto"/>
        </w:rPr>
      </w:pPr>
    </w:p>
    <w:p>
      <w:pPr>
        <w:ind w:left="860" w:firstLine="428"/>
        <w:spacing w:after="0" w:line="268" w:lineRule="auto"/>
        <w:tabs>
          <w:tab w:leader="none" w:pos="1663"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subordinate any Lien on any Property granted to or held by Administrative Agent under any Loan Document to the holder of any Lien on such Property that is permitted by </w:t>
      </w:r>
      <w:r>
        <w:rPr>
          <w:rFonts w:ascii="Times New Roman" w:cs="Times New Roman" w:eastAsia="Times New Roman" w:hAnsi="Times New Roman"/>
          <w:sz w:val="14"/>
          <w:szCs w:val="14"/>
          <w:b w:val="1"/>
          <w:bCs w:val="1"/>
          <w:i w:val="1"/>
          <w:iCs w:val="1"/>
          <w:color w:val="auto"/>
        </w:rPr>
        <w:t>Section 7.2</w:t>
      </w:r>
      <w:r>
        <w:rPr>
          <w:rFonts w:ascii="Times New Roman" w:cs="Times New Roman" w:eastAsia="Times New Roman" w:hAnsi="Times New Roman"/>
          <w:sz w:val="14"/>
          <w:szCs w:val="14"/>
          <w:color w:val="auto"/>
        </w:rPr>
        <w:t>; and</w:t>
      </w:r>
    </w:p>
    <w:p>
      <w:pPr>
        <w:ind w:left="1720" w:hanging="432"/>
        <w:spacing w:after="0"/>
        <w:tabs>
          <w:tab w:leader="none" w:pos="17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release any Guarantor from its obligations under the Guaranty if such Person ceases to be a Subsidiary as a result of a transaction permitted under the Loan</w:t>
      </w:r>
    </w:p>
    <w:p>
      <w:pPr>
        <w:spacing w:after="0" w:line="17" w:lineRule="exact"/>
        <w:rPr>
          <w:rFonts w:ascii="Times New Roman" w:cs="Times New Roman" w:eastAsia="Times New Roman" w:hAnsi="Times New Roman"/>
          <w:sz w:val="14"/>
          <w:szCs w:val="14"/>
          <w:color w:val="auto"/>
        </w:rPr>
      </w:pPr>
    </w:p>
    <w:p>
      <w:pPr>
        <w:ind w:left="8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Documents.</w:t>
      </w:r>
    </w:p>
    <w:p>
      <w:pPr>
        <w:spacing w:after="0" w:line="21" w:lineRule="exact"/>
        <w:rPr>
          <w:sz w:val="20"/>
          <w:szCs w:val="20"/>
          <w:color w:val="auto"/>
        </w:rPr>
      </w:pPr>
    </w:p>
    <w:p>
      <w:pPr>
        <w:jc w:val="both"/>
        <w:ind w:left="420" w:firstLine="432"/>
        <w:spacing w:after="0" w:line="248" w:lineRule="auto"/>
        <w:rPr>
          <w:sz w:val="20"/>
          <w:szCs w:val="20"/>
          <w:color w:val="auto"/>
        </w:rPr>
      </w:pPr>
      <w:r>
        <w:rPr>
          <w:rFonts w:ascii="Times New Roman" w:cs="Times New Roman" w:eastAsia="Times New Roman" w:hAnsi="Times New Roman"/>
          <w:sz w:val="14"/>
          <w:szCs w:val="14"/>
          <w:color w:val="auto"/>
        </w:rPr>
        <w:t xml:space="preserve">Upon request by Administrative Agent at any time, Required Lenders, Required Supermajority Lenders or all of the Lenders, as the case may be, will confirm in writing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14"/>
          <w:szCs w:val="14"/>
          <w:b w:val="1"/>
          <w:bCs w:val="1"/>
          <w:i w:val="1"/>
          <w:iCs w:val="1"/>
          <w:color w:val="auto"/>
        </w:rPr>
        <w:t>Section 10.9</w:t>
      </w:r>
      <w:r>
        <w:rPr>
          <w:rFonts w:ascii="Times New Roman" w:cs="Times New Roman" w:eastAsia="Times New Roman" w:hAnsi="Times New Roman"/>
          <w:sz w:val="14"/>
          <w:szCs w:val="14"/>
          <w:color w:val="auto"/>
        </w:rPr>
        <w:t xml:space="preserve">. Upon the occurrence of any of the events specified in </w:t>
      </w:r>
      <w:r>
        <w:rPr>
          <w:rFonts w:ascii="Times New Roman" w:cs="Times New Roman" w:eastAsia="Times New Roman" w:hAnsi="Times New Roman"/>
          <w:sz w:val="14"/>
          <w:szCs w:val="14"/>
          <w:b w:val="1"/>
          <w:bCs w:val="1"/>
          <w:i w:val="1"/>
          <w:iCs w:val="1"/>
          <w:color w:val="auto"/>
        </w:rPr>
        <w:t>Section 10.9(a)(i)(A)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(C)</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Section 10.9(a)(iii)</w:t>
      </w:r>
      <w:r>
        <w:rPr>
          <w:rFonts w:ascii="Times New Roman" w:cs="Times New Roman" w:eastAsia="Times New Roman" w:hAnsi="Times New Roman"/>
          <w:sz w:val="14"/>
          <w:szCs w:val="14"/>
          <w:color w:val="auto"/>
        </w:rPr>
        <w:t>, at Borrowers’ expense, Administrative Agent shall execute and deliver to Borrowers such documentation as Borrowers shall reasonably request to release the applicable Collateral from the Liens created by the Loan Documents and/or release the applicable Guarantor from its obligations under its Guaranty, as the case may be.</w:t>
      </w:r>
    </w:p>
    <w:p>
      <w:pPr>
        <w:spacing w:after="0" w:line="5" w:lineRule="exact"/>
        <w:rPr>
          <w:sz w:val="20"/>
          <w:szCs w:val="20"/>
          <w:color w:val="auto"/>
        </w:rPr>
      </w:pPr>
    </w:p>
    <w:p>
      <w:pPr>
        <w:jc w:val="both"/>
        <w:ind w:left="420" w:firstLine="436"/>
        <w:spacing w:after="0" w:line="257" w:lineRule="auto"/>
        <w:tabs>
          <w:tab w:leader="none" w:pos="1157"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Agent shall not be responsible for or have a duty to ascertain or inquire into any representation or warranty regarding the existence, value or collectability of the Collateral, the existence, priority or perfection of Administrative Agent’s Lien thereon, or any certificate prepared by any Loan Party in connection therewith, nor shall Administrative Agent be responsible or liable to Lenders for any failure to monitor or maintain any portion of the Collateral.</w:t>
      </w:r>
    </w:p>
    <w:p>
      <w:pPr>
        <w:spacing w:after="0" w:line="1"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4"/>
          <w:szCs w:val="14"/>
          <w:color w:val="auto"/>
        </w:rPr>
        <w:t xml:space="preserve">Section 10.10 </w:t>
      </w:r>
      <w:r>
        <w:rPr>
          <w:rFonts w:ascii="Times New Roman" w:cs="Times New Roman" w:eastAsia="Times New Roman" w:hAnsi="Times New Roman"/>
          <w:sz w:val="14"/>
          <w:szCs w:val="14"/>
          <w:b w:val="1"/>
          <w:bCs w:val="1"/>
          <w:u w:val="single" w:color="auto"/>
          <w:color w:val="auto"/>
        </w:rPr>
        <w:t>Bank Product Agreements.</w:t>
      </w:r>
      <w:r>
        <w:rPr>
          <w:rFonts w:ascii="Times New Roman" w:cs="Times New Roman" w:eastAsia="Times New Roman" w:hAnsi="Times New Roman"/>
          <w:sz w:val="14"/>
          <w:szCs w:val="14"/>
          <w:color w:val="auto"/>
        </w:rPr>
        <w:t xml:space="preserve"> No Bank Product Provider who obtains the benefits of </w:t>
      </w:r>
      <w:r>
        <w:rPr>
          <w:rFonts w:ascii="Times New Roman" w:cs="Times New Roman" w:eastAsia="Times New Roman" w:hAnsi="Times New Roman"/>
          <w:sz w:val="14"/>
          <w:szCs w:val="14"/>
          <w:b w:val="1"/>
          <w:bCs w:val="1"/>
          <w:i w:val="1"/>
          <w:iCs w:val="1"/>
          <w:color w:val="auto"/>
        </w:rPr>
        <w:t>Section 9.3</w:t>
      </w:r>
      <w:r>
        <w:rPr>
          <w:rFonts w:ascii="Times New Roman" w:cs="Times New Roman" w:eastAsia="Times New Roman" w:hAnsi="Times New Roman"/>
          <w:sz w:val="14"/>
          <w:szCs w:val="14"/>
          <w:color w:val="auto"/>
        </w:rPr>
        <w:t xml:space="preserve">, any Guaranty or any Collateral by virtue of the provisions hereof or of any Guaranty or any Security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Security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4"/>
          <w:szCs w:val="14"/>
          <w:b w:val="1"/>
          <w:bCs w:val="1"/>
          <w:i w:val="1"/>
          <w:iCs w:val="1"/>
          <w:color w:val="auto"/>
        </w:rPr>
        <w:t>Article 10</w:t>
      </w:r>
      <w:r>
        <w:rPr>
          <w:rFonts w:ascii="Times New Roman" w:cs="Times New Roman" w:eastAsia="Times New Roman" w:hAnsi="Times New Roman"/>
          <w:sz w:val="14"/>
          <w:szCs w:val="14"/>
          <w:color w:val="auto"/>
        </w:rPr>
        <w:t xml:space="preserve"> to the contrary, Administrative Agent shall not be required to verify the payment of, or that other satisfactory arrangements have been made with respect to, Bank Product Obligations unless Administrative Agent has received written notice of such Bank Product Obligations, together with such supporting documentation as Administrative Agent may request, from the applicable Bank Product Provider. Administrative Agent shall not be required to verify the payment of, or that other satisfactory arrangements have been made with respect to, Bank Product Obligations arising under Bank Product Agreements upon termination of all Commitments and payment in full of all Obligations under the Loan Documents (other than contingent indemnification obligations) and the expiration or termination of all Letters of Credit (other than Letters of Credit as to which other arrangements satisfactory to Administrative Agent and L/C Issuer shall have been made).</w:t>
      </w:r>
    </w:p>
    <w:p>
      <w:pPr>
        <w:spacing w:after="0" w:line="8"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4"/>
          <w:szCs w:val="14"/>
          <w:color w:val="auto"/>
        </w:rPr>
        <w:t>Section 10.11</w:t>
      </w:r>
      <w:r>
        <w:rPr>
          <w:sz w:val="20"/>
          <w:szCs w:val="20"/>
          <w:color w:val="auto"/>
        </w:rPr>
        <w:tab/>
      </w:r>
      <w:r>
        <w:rPr>
          <w:rFonts w:ascii="Times New Roman" w:cs="Times New Roman" w:eastAsia="Times New Roman" w:hAnsi="Times New Roman"/>
          <w:sz w:val="14"/>
          <w:szCs w:val="14"/>
          <w:b w:val="1"/>
          <w:bCs w:val="1"/>
          <w:u w:val="single" w:color="auto"/>
          <w:color w:val="auto"/>
        </w:rPr>
        <w:t>Certain ERISA Matters.</w:t>
      </w:r>
    </w:p>
    <w:p>
      <w:pPr>
        <w:spacing w:after="0" w:line="39" w:lineRule="exact"/>
        <w:rPr>
          <w:sz w:val="20"/>
          <w:szCs w:val="20"/>
          <w:color w:val="auto"/>
        </w:rPr>
      </w:pPr>
    </w:p>
    <w:p>
      <w:pPr>
        <w:jc w:val="both"/>
        <w:ind w:left="420" w:right="20" w:firstLine="436"/>
        <w:spacing w:after="0" w:line="259" w:lineRule="auto"/>
        <w:tabs>
          <w:tab w:leader="none" w:pos="1191"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its respective Affiliates, and not, for the avoidance of doubt, to or for the benefit of the Borrowers or any other Loan Party, that at least one of the following is and will be true:</w:t>
      </w:r>
    </w:p>
    <w:p>
      <w:pPr>
        <w:ind w:left="860" w:firstLine="428"/>
        <w:spacing w:after="0" w:line="268" w:lineRule="auto"/>
        <w:tabs>
          <w:tab w:leader="none" w:pos="1611"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Lender is not using “plan assets” (within the meaning of the Plan Asset Regulations) of one or more Benefit Plans with respect to such Lender’s entrance into, participation in, administration of and performance of the Loans, the Letters of Credit, the Commitments or this Agreement,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11300"/>
          </w:cols>
          <w:pgMar w:left="300" w:top="287" w:right="29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440" w:right="20" w:firstLine="428"/>
        <w:spacing w:after="0" w:line="251" w:lineRule="auto"/>
        <w:tabs>
          <w:tab w:leader="none" w:pos="1293" w:val="left"/>
        </w:tabs>
        <w:numPr>
          <w:ilvl w:val="1"/>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4" w:lineRule="exact"/>
        <w:rPr>
          <w:rFonts w:ascii="Times New Roman" w:cs="Times New Roman" w:eastAsia="Times New Roman" w:hAnsi="Times New Roman"/>
          <w:sz w:val="14"/>
          <w:szCs w:val="14"/>
          <w:color w:val="auto"/>
        </w:rPr>
      </w:pPr>
    </w:p>
    <w:p>
      <w:pPr>
        <w:jc w:val="both"/>
        <w:ind w:left="440" w:firstLine="428"/>
        <w:spacing w:after="0" w:line="247" w:lineRule="auto"/>
        <w:tabs>
          <w:tab w:leader="none" w:pos="1289" w:val="left"/>
        </w:tabs>
        <w:numPr>
          <w:ilvl w:val="1"/>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0" w:lineRule="exact"/>
        <w:rPr>
          <w:rFonts w:ascii="Times New Roman" w:cs="Times New Roman" w:eastAsia="Times New Roman" w:hAnsi="Times New Roman"/>
          <w:sz w:val="14"/>
          <w:szCs w:val="14"/>
          <w:color w:val="auto"/>
        </w:rPr>
      </w:pPr>
    </w:p>
    <w:p>
      <w:pPr>
        <w:ind w:left="1220" w:hanging="352"/>
        <w:spacing w:after="0"/>
        <w:tabs>
          <w:tab w:leader="none" w:pos="1220" w:val="left"/>
        </w:tabs>
        <w:numPr>
          <w:ilvl w:val="1"/>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representation, warranty and covenant as may be agreed in writing between the Administrative Agent, in its sole discretion, and such Lender.</w:t>
      </w:r>
    </w:p>
    <w:p>
      <w:pPr>
        <w:spacing w:after="0" w:line="37" w:lineRule="exact"/>
        <w:rPr>
          <w:rFonts w:ascii="Times New Roman" w:cs="Times New Roman" w:eastAsia="Times New Roman" w:hAnsi="Times New Roman"/>
          <w:sz w:val="14"/>
          <w:szCs w:val="14"/>
          <w:color w:val="auto"/>
        </w:rPr>
      </w:pPr>
    </w:p>
    <w:p>
      <w:pPr>
        <w:jc w:val="both"/>
        <w:ind w:firstLine="436"/>
        <w:spacing w:after="0" w:line="246" w:lineRule="auto"/>
        <w:tabs>
          <w:tab w:leader="none" w:pos="784"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their respective Affiliates, and not, for the avoidance of doubt, to or for the benefit of the Borrowers or any other Loan Party, that none of the Administrative Agent, the Arrangers or any other arranger of this Agreement or any amendment thereto, or any of their respective Affiliates is a fiduciary with respect to the Collateral or the assets of such Lender (including in connection with the reservation or exercise of any rights by the Administrative Agent under this Agreement, any Loan Document or any documents related hereto or thereto).</w:t>
      </w:r>
    </w:p>
    <w:p>
      <w:pPr>
        <w:spacing w:after="0" w:line="8" w:lineRule="exact"/>
        <w:rPr>
          <w:rFonts w:ascii="Times New Roman" w:cs="Times New Roman" w:eastAsia="Times New Roman" w:hAnsi="Times New Roman"/>
          <w:sz w:val="14"/>
          <w:szCs w:val="14"/>
          <w:color w:val="auto"/>
        </w:rPr>
      </w:pPr>
    </w:p>
    <w:p>
      <w:pPr>
        <w:jc w:val="both"/>
        <w:ind w:firstLine="436"/>
        <w:spacing w:after="0" w:line="247" w:lineRule="auto"/>
        <w:tabs>
          <w:tab w:leader="none" w:pos="793"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Section 10.12</w:t>
      </w:r>
      <w:r>
        <w:rPr>
          <w:sz w:val="20"/>
          <w:szCs w:val="20"/>
          <w:color w:val="auto"/>
        </w:rPr>
        <w:tab/>
      </w:r>
      <w:r>
        <w:rPr>
          <w:rFonts w:ascii="Times New Roman" w:cs="Times New Roman" w:eastAsia="Times New Roman" w:hAnsi="Times New Roman"/>
          <w:sz w:val="14"/>
          <w:szCs w:val="14"/>
          <w:b w:val="1"/>
          <w:bCs w:val="1"/>
          <w:u w:val="single" w:color="auto"/>
          <w:color w:val="auto"/>
        </w:rPr>
        <w:t>Acknowledgement with Respect to Erroneous Payments.</w:t>
      </w:r>
    </w:p>
    <w:p>
      <w:pPr>
        <w:spacing w:after="0" w:line="30" w:lineRule="exact"/>
        <w:rPr>
          <w:sz w:val="20"/>
          <w:szCs w:val="20"/>
          <w:color w:val="auto"/>
        </w:rPr>
      </w:pPr>
    </w:p>
    <w:p>
      <w:pPr>
        <w:ind w:left="760" w:hanging="324"/>
        <w:spacing w:after="0"/>
        <w:tabs>
          <w:tab w:leader="none" w:pos="76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hereby agrees that (i) if the Administrative Agent notifies such Lender that the Administrative Agent has determined in its sole discretion that any funds received</w:t>
      </w:r>
    </w:p>
    <w:p>
      <w:pPr>
        <w:spacing w:after="0" w:line="1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such</w:t>
      </w:r>
    </w:p>
    <w:p>
      <w:pPr>
        <w:spacing w:after="0" w:line="39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10880"/>
          </w:cols>
          <w:pgMar w:left="720" w:top="287" w:right="29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Lender from the Administrative Agent or any of its Affiliates (whether as a payment, prepayment or repayment of principal, interest, fees or otherwise; individually and collectively, an “</w:t>
      </w:r>
      <w:r>
        <w:rPr>
          <w:rFonts w:ascii="Times New Roman" w:cs="Times New Roman" w:eastAsia="Times New Roman" w:hAnsi="Times New Roman"/>
          <w:sz w:val="14"/>
          <w:szCs w:val="14"/>
          <w:b w:val="1"/>
          <w:bCs w:val="1"/>
          <w:i w:val="1"/>
          <w:iCs w:val="1"/>
          <w:color w:val="auto"/>
        </w:rPr>
        <w:t>Erroneous Payment</w:t>
      </w:r>
      <w:r>
        <w:rPr>
          <w:rFonts w:ascii="Times New Roman" w:cs="Times New Roman" w:eastAsia="Times New Roman" w:hAnsi="Times New Roman"/>
          <w:sz w:val="14"/>
          <w:szCs w:val="14"/>
          <w:color w:val="auto"/>
        </w:rPr>
        <w:t xml:space="preserve">”) were erroneously transmitted to such Lender (whether or not known to such Lender), and demands the return of such Erroneous Payment (or a portion thereof), such Lender shall promptly, but in no event later than one Business Day thereafter, return to the Administrative Agent the amount of any such Erroneous Payment (or portion thereof) as to which such a demand was made in same day funds, together with interest thereon in respect of each day from and including the date such Erroneous Payment (or portion thereof) was received by such Lender to the date such amount is repaid to the Administrative Agent at the greater of the Federal Funds Rate and a rate determined by the Administrative Agent in accordance with banking industry rules on interbank compensation from time to time in effect, and (ii)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Erroneous Payments received, including without limitation any defense based on “discharge for value” or any similar doctrine. A notice of the Administrative Agent to any Lender under this </w:t>
      </w:r>
      <w:r>
        <w:rPr>
          <w:rFonts w:ascii="Times New Roman" w:cs="Times New Roman" w:eastAsia="Times New Roman" w:hAnsi="Times New Roman"/>
          <w:sz w:val="14"/>
          <w:szCs w:val="14"/>
          <w:b w:val="1"/>
          <w:bCs w:val="1"/>
          <w:i w:val="1"/>
          <w:iCs w:val="1"/>
          <w:color w:val="auto"/>
        </w:rPr>
        <w:t>Section 10.12</w:t>
      </w:r>
      <w:r>
        <w:rPr>
          <w:rFonts w:ascii="Times New Roman" w:cs="Times New Roman" w:eastAsia="Times New Roman" w:hAnsi="Times New Roman"/>
          <w:sz w:val="14"/>
          <w:szCs w:val="14"/>
          <w:color w:val="auto"/>
        </w:rPr>
        <w:t xml:space="preserve"> shall be conclusive, absent manifest error.</w:t>
      </w:r>
    </w:p>
    <w:p>
      <w:pPr>
        <w:spacing w:after="0" w:line="12" w:lineRule="exact"/>
        <w:rPr>
          <w:sz w:val="20"/>
          <w:szCs w:val="20"/>
          <w:color w:val="auto"/>
        </w:rPr>
      </w:pPr>
    </w:p>
    <w:p>
      <w:pPr>
        <w:jc w:val="both"/>
        <w:ind w:firstLine="436"/>
        <w:spacing w:after="0" w:line="246" w:lineRule="auto"/>
        <w:tabs>
          <w:tab w:leader="none" w:pos="757"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hereby further agrees that if it receives an Erroneous Payment from the Administrative Agent or any of its Affiliates (i) that is in a different amount than, or on a different date from, that specified in a notice of payment sent by the Administrative Agent (or any of its Affiliates) with respect to such Erroneous Payment (a “</w:t>
      </w:r>
      <w:r>
        <w:rPr>
          <w:rFonts w:ascii="Times New Roman" w:cs="Times New Roman" w:eastAsia="Times New Roman" w:hAnsi="Times New Roman"/>
          <w:sz w:val="14"/>
          <w:szCs w:val="14"/>
          <w:b w:val="1"/>
          <w:bCs w:val="1"/>
          <w:i w:val="1"/>
          <w:iCs w:val="1"/>
          <w:color w:val="auto"/>
        </w:rPr>
        <w:t>Payment Notice</w:t>
      </w:r>
      <w:r>
        <w:rPr>
          <w:rFonts w:ascii="Times New Roman" w:cs="Times New Roman" w:eastAsia="Times New Roman" w:hAnsi="Times New Roman"/>
          <w:sz w:val="14"/>
          <w:szCs w:val="14"/>
          <w:color w:val="auto"/>
        </w:rPr>
        <w:t>”) or (ii) that was not preceded or accompanied by a Payment Notice, it shall be on notice, in each such case, that an error has been made with respect to such Erroneous Payment. Each Lender agrees that, in each such case, or if it otherwise becomes aware an Erroneous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Erroneous Payment (or portion thereof) as to which such a demand was made in same day funds, together with interest thereon in respect of each day from and including the date such Erroneous Payment (or portion thereof) was received by such Lender to the date such amount is repaid to the Administrative Agent at the greater of the Federal Funds Rate and a rate determined by the Administrative Agent in accordance with banking industry rules on interbank compensation from time to time in effect.</w:t>
      </w:r>
    </w:p>
    <w:p>
      <w:pPr>
        <w:spacing w:after="0" w:line="2" w:lineRule="exact"/>
        <w:rPr>
          <w:rFonts w:ascii="Times New Roman" w:cs="Times New Roman" w:eastAsia="Times New Roman" w:hAnsi="Times New Roman"/>
          <w:sz w:val="14"/>
          <w:szCs w:val="14"/>
          <w:color w:val="auto"/>
        </w:rPr>
      </w:pPr>
    </w:p>
    <w:p>
      <w:pPr>
        <w:jc w:val="both"/>
        <w:ind w:firstLine="436"/>
        <w:spacing w:after="0" w:line="257" w:lineRule="auto"/>
        <w:tabs>
          <w:tab w:leader="none" w:pos="749"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hereby agrees that (x) in the event an Erroneous Payment (or portion thereof) are not recovered from any Lender that has received such Erroneous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ind w:firstLine="436"/>
        <w:spacing w:after="0" w:line="288" w:lineRule="auto"/>
        <w:tabs>
          <w:tab w:leader="none" w:pos="78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party’s obligations under this </w:t>
      </w:r>
      <w:r>
        <w:rPr>
          <w:rFonts w:ascii="Times New Roman" w:cs="Times New Roman" w:eastAsia="Times New Roman" w:hAnsi="Times New Roman"/>
          <w:sz w:val="14"/>
          <w:szCs w:val="14"/>
          <w:b w:val="1"/>
          <w:bCs w:val="1"/>
          <w:i w:val="1"/>
          <w:iCs w:val="1"/>
          <w:color w:val="auto"/>
        </w:rPr>
        <w:t>Section 10.12</w:t>
      </w:r>
      <w:r>
        <w:rPr>
          <w:rFonts w:ascii="Times New Roman" w:cs="Times New Roman" w:eastAsia="Times New Roman" w:hAnsi="Times New Roman"/>
          <w:sz w:val="14"/>
          <w:szCs w:val="14"/>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ARTICLE 11.</w:t>
      </w:r>
    </w:p>
    <w:p>
      <w:pPr>
        <w:spacing w:after="0" w:line="3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4"/>
          <w:szCs w:val="14"/>
          <w:color w:val="auto"/>
        </w:rPr>
        <w:t>Section 11.1</w:t>
      </w:r>
      <w:r>
        <w:rPr>
          <w:sz w:val="20"/>
          <w:szCs w:val="20"/>
          <w:color w:val="auto"/>
        </w:rPr>
        <w:tab/>
      </w:r>
      <w:r>
        <w:rPr>
          <w:rFonts w:ascii="Times New Roman" w:cs="Times New Roman" w:eastAsia="Times New Roman" w:hAnsi="Times New Roman"/>
          <w:sz w:val="14"/>
          <w:szCs w:val="14"/>
          <w:b w:val="1"/>
          <w:bCs w:val="1"/>
          <w:u w:val="single" w:color="auto"/>
          <w:color w:val="auto"/>
        </w:rPr>
        <w:t>Expenses.</w:t>
      </w:r>
    </w:p>
    <w:p>
      <w:pPr>
        <w:spacing w:after="0" w:line="39" w:lineRule="exact"/>
        <w:rPr>
          <w:sz w:val="20"/>
          <w:szCs w:val="20"/>
          <w:color w:val="auto"/>
        </w:rPr>
      </w:pPr>
    </w:p>
    <w:p>
      <w:pPr>
        <w:ind w:right="20" w:firstLine="436"/>
        <w:spacing w:after="0" w:line="268" w:lineRule="auto"/>
        <w:tabs>
          <w:tab w:leader="none" w:pos="772"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Borrower hereby agrees to pay on demand: (i) all reasonable out-of-pocket costs and expenses of TCBI Securities, Inc., in its capacity as an Arranger, Administrative Agent, L/C Issuer, Swing Line Lender and their Related Parties in connection with the syndication and</w:t>
      </w:r>
    </w:p>
    <w:p>
      <w:pPr>
        <w:spacing w:after="0" w:line="36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10880"/>
          </w:cols>
          <w:pgMar w:left="720" w:top="287" w:right="29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 xml:space="preserve">distribution of the Revolving Credit Facility and the preparation, negotiation, execution, delivery and administration of this Agreement and the other Loan Documents and any and all amendments, modifications, renewals, extensions, supplements, waivers, consents and ratifications thereof and thereto, including, without limitation, the reasonable fees and expenses of legal counsel, advisors, consultants, and auditors for Administrative Agent, L/C Issuer, Swing Line Lender and their Related Parties; (ii) all reasonable costs and expenses of Administrative Agent, L/C Issuer, Swing Line Lender and each Lender in connection with any Default and the enforcement of this Agreement or any other Loan Document, including, without limitation, court costs and fees and expenses of legal counsel, advisors, consultants, and auditors for Administrative Agent, L/C Issuer, Swing Line Lender and each Lender; (iii) all reasonable costs and expenses incurred by L/C Issuer in connection with the issuance, amendment, renewal or extension of any Letter of Credit or any demand for payment thereunder; (iv) all transfer, stamp, documentary, or other similar taxes, assessments, or charges levied by any Governmental Authority in respect of this Agreement or any of the other Loan Documents; (v) all reasonable costs, expenses, assessments, and other charges incurred in connection with any filing, registration, recording, or perfection of any Lien contemplated by this Agreement or any other Loan Document; and (vi) all other reasonable costs and expenses incurred by Administrative Agent, L/C Issuer, Swing Line Lender and any Lender in connection with the enforcement or protection of its rights under this Agreement or any other Loan Document, any workout or restructuring (including the negotiations thereof), any litigation, dispute, suit, proceeding or action, the enforcement of its rights and remedies, and the protection of its interests in bankruptcy, insolvency or other legal proceedings, including, without limitation, all costs, expenses, and other charges (including Administrative Agent’s and such Lender’s, L/C Issuer’s, and Swing Line Lender’s internal charges) incurred in connection with evaluating, observing, collecting, examining, auditing, appraising, selling, liquidating, or otherwise disposing of the Collateral or other assets of the Loan Parties. Borrowers shall be responsible for all expenses described in this </w:t>
      </w:r>
      <w:r>
        <w:rPr>
          <w:rFonts w:ascii="Times New Roman" w:cs="Times New Roman" w:eastAsia="Times New Roman" w:hAnsi="Times New Roman"/>
          <w:sz w:val="14"/>
          <w:szCs w:val="14"/>
          <w:b w:val="1"/>
          <w:bCs w:val="1"/>
          <w:i w:val="1"/>
          <w:iCs w:val="1"/>
          <w:color w:val="auto"/>
        </w:rPr>
        <w:t>clause (a)</w:t>
      </w:r>
      <w:r>
        <w:rPr>
          <w:rFonts w:ascii="Times New Roman" w:cs="Times New Roman" w:eastAsia="Times New Roman" w:hAnsi="Times New Roman"/>
          <w:sz w:val="14"/>
          <w:szCs w:val="14"/>
          <w:color w:val="auto"/>
        </w:rPr>
        <w:t xml:space="preserve"> whether or not any Credit Extension is ever made. Any amount to be paid under this </w:t>
      </w:r>
      <w:r>
        <w:rPr>
          <w:rFonts w:ascii="Times New Roman" w:cs="Times New Roman" w:eastAsia="Times New Roman" w:hAnsi="Times New Roman"/>
          <w:sz w:val="14"/>
          <w:szCs w:val="14"/>
          <w:b w:val="1"/>
          <w:bCs w:val="1"/>
          <w:i w:val="1"/>
          <w:iCs w:val="1"/>
          <w:color w:val="auto"/>
        </w:rPr>
        <w:t>Section 11.1</w:t>
      </w:r>
      <w:r>
        <w:rPr>
          <w:rFonts w:ascii="Times New Roman" w:cs="Times New Roman" w:eastAsia="Times New Roman" w:hAnsi="Times New Roman"/>
          <w:sz w:val="14"/>
          <w:szCs w:val="14"/>
          <w:color w:val="auto"/>
        </w:rPr>
        <w:t xml:space="preserve"> shall be a demand obligation owing by Borrowers and if not paid within ten (10) days of demand shall bear interest, to the extent not prohibited by and not in violation of applicable Law, from the date of expenditure until paid at a rate per annum equal to the Default Interest Rate. The obligations of Borrowers under this </w:t>
      </w:r>
      <w:r>
        <w:rPr>
          <w:rFonts w:ascii="Times New Roman" w:cs="Times New Roman" w:eastAsia="Times New Roman" w:hAnsi="Times New Roman"/>
          <w:sz w:val="14"/>
          <w:szCs w:val="14"/>
          <w:b w:val="1"/>
          <w:bCs w:val="1"/>
          <w:i w:val="1"/>
          <w:iCs w:val="1"/>
          <w:color w:val="auto"/>
        </w:rPr>
        <w:t>Section 11.1</w:t>
      </w:r>
      <w:r>
        <w:rPr>
          <w:rFonts w:ascii="Times New Roman" w:cs="Times New Roman" w:eastAsia="Times New Roman" w:hAnsi="Times New Roman"/>
          <w:sz w:val="14"/>
          <w:szCs w:val="14"/>
          <w:color w:val="auto"/>
        </w:rPr>
        <w:t xml:space="preserve"> shall survive payment of the Notes and other obligations hereunder and the assignment of any right hereunder.</w:t>
      </w:r>
    </w:p>
    <w:p>
      <w:pPr>
        <w:spacing w:after="0" w:line="163" w:lineRule="exact"/>
        <w:rPr>
          <w:sz w:val="20"/>
          <w:szCs w:val="20"/>
          <w:color w:val="auto"/>
        </w:rPr>
      </w:pPr>
    </w:p>
    <w:p>
      <w:pPr>
        <w:jc w:val="both"/>
        <w:ind w:firstLine="436"/>
        <w:spacing w:after="0" w:line="244" w:lineRule="auto"/>
        <w:tabs>
          <w:tab w:leader="none" w:pos="765"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that Borrowers for any reason fail to indefeasibly pay any amount required under </w:t>
      </w:r>
      <w:r>
        <w:rPr>
          <w:rFonts w:ascii="Times New Roman" w:cs="Times New Roman" w:eastAsia="Times New Roman" w:hAnsi="Times New Roman"/>
          <w:sz w:val="14"/>
          <w:szCs w:val="14"/>
          <w:b w:val="1"/>
          <w:bCs w:val="1"/>
          <w:i w:val="1"/>
          <w:iCs w:val="1"/>
          <w:color w:val="auto"/>
        </w:rPr>
        <w:t>Section 11.1(a)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Section 11.2</w:t>
      </w:r>
      <w:r>
        <w:rPr>
          <w:rFonts w:ascii="Times New Roman" w:cs="Times New Roman" w:eastAsia="Times New Roman" w:hAnsi="Times New Roman"/>
          <w:sz w:val="14"/>
          <w:szCs w:val="14"/>
          <w:color w:val="auto"/>
        </w:rPr>
        <w:t xml:space="preserve"> to be paid by it to Administrative Agent, L/C Issuer, or Swing Line Lender (or any sub-agent thereof) or any Related Party of Administrative Agent, L/C Issuer, or Swing Line Lender (or any sub-agent thereof), each Lender severally agrees to pay to Administrative Agent, L/C Issuer, or Swing Line Lender (or any such sub-agent) or such Related Party, as the case may be, such Lender’s pro rata share (determined as of the time that the applicable unreimbursed expense or indemnity payment is sought based on each Lender’s share of the Revolving Credit Exposure at such time) of such unpaid amount (including any such unpaid amount in respect of a claim asserted by such Lender); provided that the unreimbursed expense or indemnified loss, claim, damage, liability or related expense, as the case may be, was incurred by or asserted against Administrative Agent, L/C Issuer, or Swing Line Lender (or any such sub-agent) or against any Related Party of Administrative Agent, L/C Issuer, or Swing Line Lender (or any sub-agent thereof) acting for Administrative Agent, L/C Issuer, or Swing Line Lender (or any such sub-agent) in connection with such capacity. </w:t>
      </w:r>
      <w:r>
        <w:rPr>
          <w:rFonts w:ascii="Times New Roman" w:cs="Times New Roman" w:eastAsia="Times New Roman" w:hAnsi="Times New Roman"/>
          <w:sz w:val="14"/>
          <w:szCs w:val="14"/>
          <w:b w:val="1"/>
          <w:bCs w:val="1"/>
          <w:color w:val="auto"/>
        </w:rPr>
        <w:t>EACH LENDER ACKNOWLEDGES THAT SUCH PAYMENTS MAY BE IN RESPECT OF LOSSES, CLAIMS, DAMAGES, LIABILITIES OR RELATED</w:t>
      </w:r>
    </w:p>
    <w:p>
      <w:pPr>
        <w:spacing w:after="0" w:line="3" w:lineRule="exact"/>
        <w:rPr>
          <w:rFonts w:ascii="Times New Roman" w:cs="Times New Roman" w:eastAsia="Times New Roman" w:hAnsi="Times New Roman"/>
          <w:sz w:val="14"/>
          <w:szCs w:val="14"/>
          <w:color w:val="auto"/>
        </w:rPr>
      </w:pPr>
    </w:p>
    <w:p>
      <w:pPr>
        <w:ind w:right="20"/>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EXPENSES ARISING OUT OF OR RESULTING FROM THE SOLE, CONTRIBUTORY, COMPARATIVE, CONCURRENT OR ORDINARY NEGLIGENCE OF THE PERSON (OR THE REPRESENTATIVES OF THE PERSON) TO WHOM SUCH PAYMENTS ARE TO BE MADE.</w:t>
      </w:r>
    </w:p>
    <w:p>
      <w:pPr>
        <w:spacing w:after="0" w:line="36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10880"/>
          </w:cols>
          <w:pgMar w:left="720" w:top="287" w:right="29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5"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4"/>
          <w:szCs w:val="14"/>
          <w:color w:val="auto"/>
        </w:rPr>
        <w:t xml:space="preserve">SECTION 11.2 </w:t>
      </w:r>
      <w:r>
        <w:rPr>
          <w:rFonts w:ascii="Times New Roman" w:cs="Times New Roman" w:eastAsia="Times New Roman" w:hAnsi="Times New Roman"/>
          <w:sz w:val="14"/>
          <w:szCs w:val="14"/>
          <w:b w:val="1"/>
          <w:bCs w:val="1"/>
          <w:u w:val="single" w:color="auto"/>
          <w:color w:val="auto"/>
        </w:rPr>
        <w:t>INDEMNIFICATION</w:t>
      </w:r>
      <w:r>
        <w:rPr>
          <w:rFonts w:ascii="Times New Roman" w:cs="Times New Roman" w:eastAsia="Times New Roman" w:hAnsi="Times New Roman"/>
          <w:sz w:val="14"/>
          <w:szCs w:val="14"/>
          <w:color w:val="auto"/>
        </w:rPr>
        <w:t>. EACH BORROWER SHALL INDEMNIFY EACH ARRANGER, ADMINISTRATIVE AGENT, L/C ISSUER, SWING LINE LENDER, EACH LENDER AND EACH RELATED PARTY THEREOF (EACH, AN “</w:t>
      </w:r>
      <w:r>
        <w:rPr>
          <w:rFonts w:ascii="Times New Roman" w:cs="Times New Roman" w:eastAsia="Times New Roman" w:hAnsi="Times New Roman"/>
          <w:sz w:val="14"/>
          <w:szCs w:val="14"/>
          <w:b w:val="1"/>
          <w:bCs w:val="1"/>
          <w:i w:val="1"/>
          <w:iCs w:val="1"/>
          <w:color w:val="auto"/>
        </w:rPr>
        <w:t>INDEMNITEE</w:t>
      </w:r>
      <w:r>
        <w:rPr>
          <w:rFonts w:ascii="Times New Roman" w:cs="Times New Roman" w:eastAsia="Times New Roman" w:hAnsi="Times New Roman"/>
          <w:sz w:val="14"/>
          <w:szCs w:val="14"/>
          <w:color w:val="auto"/>
        </w:rPr>
        <w:t xml:space="preserve">”) FROM, AND HOLD EACH OF THEM HARMLESS AGAINST, ANY AND ALL LOSSES, LIABILITIES, CLAIMS, DAMAGES, PENALTIES, JUDGMENTS, DISBURSEMENTS, COSTS, AND EXPENSES (INCLUDING ATTORNEYS’ FEES) TO WHICH ANY OF THEM MAY BECOME SUBJECT WHICH DIRECTLY OR INDIRECTLY ARISE FROM OR RELATE TO (A) THE NEGOTIATION, EXECUTION, DELIVERY, PERFORMANCE, ADMINISTRATION, OR ENFORCEMENT OF ANY OF THE LOAN DOCUMENTS, (B) ANY OF THE TRANSACTIONS CONTEMPLATED BY THE LOAN DOCUMENTS, (C) ANY BREACH BY ANY BORROWER OF ANY REPRESENTATION, WARRANTY, COVENANT, OR OTHER AGREEMENT CONTAINED IN ANY OF THE LOAN DOCUMENTS, (D) THE PRESENCE, RELEASE, THREATENED RELEASE, DISPOSAL, REMOVAL, OR CLEANUP OF ANY HAZARDOUS MATERIAL LOCATED ON, ABOUT, WITHIN, OR AFFECTING ANY OF THE PROPERTIES OR ASSETS OF HOLDINGS OR ANY OF ITS SUBSIDIARIES OR ANY OTHER LOAN PARTY, (E) ANY LOAN OR LETTER OF CREDIT OR USE OR PROPOSED USE OF THE PROCEEDS THEREFROM (INCLUDING ANY REFUSAL BY THE L/C ISSUER TO HONOR A DEMAND FOR PAYMENT UNDER A LETTER OF CREDIT IF THE DOCUMENTS PRESENTED IN CONNECTION WITH SUCH DEMAND DO NOT STRICTLY COMPLY WITH THE TERMS OF SUCH LETTER OF CREDIT) OR (F) ANY INVESTIGATION, LITIGATION, OR OTHER PROCEEDING, INCLUDING, WITHOUT LIMITATION, ANY THREATENED OR PROSPECTIVE INVESTIGATION, LITIGATION, OR OTHER PROCEEDING, RELATING TO ANY OF THE FOREGOING, WHETHER BROUGHT BY A THIRD PARTY OR BY ANY LOAN PARTY. WITHOUT LIMITING ANY PROVISION OF THIS AGREEMENT OR OF ANY OTHER LOAN DOCUMENT, IT IS THE EXPRESS INTENTION OF THE PARTIES HERETO THAT EACH INDEMNITEE SHALL BE INDEMNIFIED FROM AND HELD HARMLESS AGAINST ANY AND ALL LOSSES, LIABILITIES, CLAIMS, DAMAGES, PENALTIES, JUDGMENTS, DISBURSEMENTS, COSTS, AND EXPENSES (INCLUDING ATTORNEYS’ FEES) ARISING OUT OF OR RESULTING FROM THE SOLE, CONTRIBUTORY, COMPARATIVE, CONCURRENT OR ORDINARY NEGLIGENCE OF SUCH INDEMNITEE (OR THE REPRESENTATIVES OF SUCH PERSON);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indemnity shall not, as to any Indemnitee, be available to the extent such losses, liabilities, claims, damages, penalties, judgments, disbursements, costs and expenses (x) are determined by a court of competent jurisdiction by final and nonappealable judgment to have resulted from the gross negligence or willful misconduct of such Indemnitee or (y) result from a claim not involving an act or omission of any Loan Party and that is brought by an Indemnitee against another Indemnitee (other than against the Arrangers or Administrative Agent in their capacities as such). Any amount to be paid under this </w:t>
      </w:r>
      <w:r>
        <w:rPr>
          <w:rFonts w:ascii="Times New Roman" w:cs="Times New Roman" w:eastAsia="Times New Roman" w:hAnsi="Times New Roman"/>
          <w:sz w:val="14"/>
          <w:szCs w:val="14"/>
          <w:b w:val="1"/>
          <w:bCs w:val="1"/>
          <w:i w:val="1"/>
          <w:iCs w:val="1"/>
          <w:color w:val="auto"/>
        </w:rPr>
        <w:t>Section 11.2</w:t>
      </w:r>
      <w:r>
        <w:rPr>
          <w:rFonts w:ascii="Times New Roman" w:cs="Times New Roman" w:eastAsia="Times New Roman" w:hAnsi="Times New Roman"/>
          <w:sz w:val="14"/>
          <w:szCs w:val="14"/>
          <w:color w:val="auto"/>
        </w:rPr>
        <w:t xml:space="preserve"> shall be a demand obligation owing by Borrowers and if not paid within fifteen (15) days after demand therefor shall bear interest, to the extent not prohibited by and not in violation of applicable Law, from the date of expenditure until paid at a rate per annum equal to the Default Interest Rate. The obligations of Borrowers under this </w:t>
      </w:r>
      <w:r>
        <w:rPr>
          <w:rFonts w:ascii="Times New Roman" w:cs="Times New Roman" w:eastAsia="Times New Roman" w:hAnsi="Times New Roman"/>
          <w:sz w:val="14"/>
          <w:szCs w:val="14"/>
          <w:b w:val="1"/>
          <w:bCs w:val="1"/>
          <w:i w:val="1"/>
          <w:iCs w:val="1"/>
          <w:color w:val="auto"/>
        </w:rPr>
        <w:t>Section 11.2</w:t>
      </w:r>
      <w:r>
        <w:rPr>
          <w:rFonts w:ascii="Times New Roman" w:cs="Times New Roman" w:eastAsia="Times New Roman" w:hAnsi="Times New Roman"/>
          <w:sz w:val="14"/>
          <w:szCs w:val="14"/>
          <w:color w:val="auto"/>
        </w:rPr>
        <w:t xml:space="preserve"> shall survive payment of the Notes and other obligations hereunder and the assignment of any right hereunder.</w:t>
      </w:r>
    </w:p>
    <w:p>
      <w:pPr>
        <w:spacing w:after="0" w:line="173"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4"/>
          <w:szCs w:val="14"/>
          <w:color w:val="auto"/>
        </w:rPr>
        <w:t xml:space="preserve">Section 11.3 </w:t>
      </w:r>
      <w:r>
        <w:rPr>
          <w:rFonts w:ascii="Times New Roman" w:cs="Times New Roman" w:eastAsia="Times New Roman" w:hAnsi="Times New Roman"/>
          <w:sz w:val="14"/>
          <w:szCs w:val="14"/>
          <w:b w:val="1"/>
          <w:bCs w:val="1"/>
          <w:u w:val="single" w:color="auto"/>
          <w:color w:val="auto"/>
        </w:rPr>
        <w:t>Limitation of Liability</w:t>
      </w:r>
      <w:r>
        <w:rPr>
          <w:rFonts w:ascii="Times New Roman" w:cs="Times New Roman" w:eastAsia="Times New Roman" w:hAnsi="Times New Roman"/>
          <w:sz w:val="14"/>
          <w:szCs w:val="14"/>
          <w:color w:val="auto"/>
        </w:rPr>
        <w:t>. None of Administrative Agent, L/C Issuer, Swing Line Lender, or any Lender, or any of their Related Parties, shall have any liability with respect to, and each Loan Party hereby waives, releases, and agrees not to sue any of them upon, any claim for any special, indirect, incidental, or consequential damages (whether in contract, tort or otherwise) suffered or incurred by any Loan Party in connection with, arising out of, or in any way related to, this Agreement or any of the other Loan Documents, or any of the transactions contemplated by this Agreement or any of the other Loan Documents. Each Loan Party hereby waives, releases, and agrees not to sue any Arranger, Administrative Agent, L/C Issuer, Swing Line Lender, or any Lender, or any of their Related Parties, for punitive damages in respect of any claim in connection with, arising out of, or in any way related to, this Agreement or any of the other Loan Documents, or any of the transactions contemplated by this Agreement or any of the other Loan Documents.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11300"/>
          </w:cols>
          <w:pgMar w:left="300" w:top="287" w:right="29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5"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11.4 </w:t>
      </w:r>
      <w:r>
        <w:rPr>
          <w:rFonts w:ascii="Times New Roman" w:cs="Times New Roman" w:eastAsia="Times New Roman" w:hAnsi="Times New Roman"/>
          <w:sz w:val="14"/>
          <w:szCs w:val="14"/>
          <w:b w:val="1"/>
          <w:bCs w:val="1"/>
          <w:u w:val="single" w:color="auto"/>
          <w:color w:val="auto"/>
        </w:rPr>
        <w:t>No Duty.</w:t>
      </w:r>
      <w:r>
        <w:rPr>
          <w:rFonts w:ascii="Times New Roman" w:cs="Times New Roman" w:eastAsia="Times New Roman" w:hAnsi="Times New Roman"/>
          <w:sz w:val="14"/>
          <w:szCs w:val="14"/>
          <w:color w:val="auto"/>
        </w:rPr>
        <w:t xml:space="preserve"> All attorneys, accountants, appraisers, and other professional Persons and consultants retained by any Arranger, Administrative Agent, any Lender, L/C Issuer, or Swing Line Lender shall have the right to act exclusively in the interest of such Arranger or Administrative Agent or such Lender, L/C Issuer, or Swing Line Lender and shall have no duty of disclosure, duty of loyalty, duty of care, or other duty or obligation of any type or nature whatsoever to any Loan Party or any of such Loan Party’s equity holders, Affiliates, officers, employees, attorneys, agents, or any other Person.</w:t>
      </w:r>
    </w:p>
    <w:p>
      <w:pPr>
        <w:spacing w:after="0" w:line="2" w:lineRule="exact"/>
        <w:rPr>
          <w:sz w:val="20"/>
          <w:szCs w:val="20"/>
          <w:color w:val="auto"/>
        </w:rPr>
      </w:pPr>
    </w:p>
    <w:p>
      <w:pPr>
        <w:jc w:val="both"/>
        <w:ind w:left="8" w:firstLine="432"/>
        <w:spacing w:after="0" w:line="249" w:lineRule="auto"/>
        <w:rPr>
          <w:sz w:val="20"/>
          <w:szCs w:val="20"/>
          <w:color w:val="auto"/>
        </w:rPr>
      </w:pPr>
      <w:r>
        <w:rPr>
          <w:rFonts w:ascii="Times New Roman" w:cs="Times New Roman" w:eastAsia="Times New Roman" w:hAnsi="Times New Roman"/>
          <w:sz w:val="14"/>
          <w:szCs w:val="14"/>
          <w:color w:val="auto"/>
        </w:rPr>
        <w:t xml:space="preserve">Section 11.5 </w:t>
      </w:r>
      <w:r>
        <w:rPr>
          <w:rFonts w:ascii="Times New Roman" w:cs="Times New Roman" w:eastAsia="Times New Roman" w:hAnsi="Times New Roman"/>
          <w:sz w:val="14"/>
          <w:szCs w:val="14"/>
          <w:b w:val="1"/>
          <w:bCs w:val="1"/>
          <w:u w:val="single" w:color="auto"/>
          <w:color w:val="auto"/>
        </w:rPr>
        <w:t>Lenders Not Fiduciary</w:t>
      </w:r>
      <w:r>
        <w:rPr>
          <w:rFonts w:ascii="Times New Roman" w:cs="Times New Roman" w:eastAsia="Times New Roman" w:hAnsi="Times New Roman"/>
          <w:sz w:val="14"/>
          <w:szCs w:val="14"/>
          <w:color w:val="auto"/>
        </w:rPr>
        <w:t>. The relationship between Borrowers and each other Loan Party on the one hand, and Administrative Agent, each Arranger and each Lender, L/C Issuer, and Swing Line Lender is solely that of debtor and creditor, and none of Administrative Agent, any Arranger, any Lender, L/C Issuer, or Swing Line Lender, on the other hand, has any fiduciary or other special relationship with Borrowers or any other Loan Party, and no term or condition of any of the Loan Documents shall be construed so as to deem the relationship between Borrowers and each other Loan Party on the one hand, and Administrative Agent, each Arranger and each Lender, L/C Issuer, and Swing Line Lender, on the other hand, to be other than that of debtor and creditor.</w:t>
      </w:r>
    </w:p>
    <w:p>
      <w:pPr>
        <w:spacing w:after="0" w:line="171"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11.6 </w:t>
      </w:r>
      <w:r>
        <w:rPr>
          <w:rFonts w:ascii="Times New Roman" w:cs="Times New Roman" w:eastAsia="Times New Roman" w:hAnsi="Times New Roman"/>
          <w:sz w:val="14"/>
          <w:szCs w:val="14"/>
          <w:u w:val="single" w:color="auto"/>
          <w:color w:val="auto"/>
        </w:rPr>
        <w:t>Equitable Relie</w:t>
      </w:r>
      <w:r>
        <w:rPr>
          <w:rFonts w:ascii="Times New Roman" w:cs="Times New Roman" w:eastAsia="Times New Roman" w:hAnsi="Times New Roman"/>
          <w:sz w:val="14"/>
          <w:szCs w:val="14"/>
          <w:color w:val="auto"/>
        </w:rPr>
        <w:t>f. Each Loan Party recognizes that in the event Borrowers or any other Loan Party fails to pay, perform, observe, or discharge any or all of the Obligations, any remedy at law may prove to be inadequate relief to Administrative Agent or Lenders, L/C Issuer, or Swing Line Lender. Each Loan Party therefore agrees that Administrative Agent, any Lender, L/C Issuer, or Swing Line Lender, if Administrative Agent or such Lender, L/C Issuer, or Swing Line Lender so requests, shall be entitled to temporary and permanent injunctive relief in any such case without the necessity of proving actual damages.</w:t>
      </w:r>
    </w:p>
    <w:p>
      <w:pPr>
        <w:jc w:val="both"/>
        <w:ind w:left="8" w:firstLine="432"/>
        <w:spacing w:after="0" w:line="252" w:lineRule="auto"/>
        <w:rPr>
          <w:sz w:val="20"/>
          <w:szCs w:val="20"/>
          <w:color w:val="auto"/>
        </w:rPr>
      </w:pPr>
      <w:r>
        <w:rPr>
          <w:rFonts w:ascii="Times New Roman" w:cs="Times New Roman" w:eastAsia="Times New Roman" w:hAnsi="Times New Roman"/>
          <w:sz w:val="14"/>
          <w:szCs w:val="14"/>
          <w:color w:val="auto"/>
        </w:rPr>
        <w:t xml:space="preserve">Section 11.7 </w:t>
      </w:r>
      <w:r>
        <w:rPr>
          <w:rFonts w:ascii="Times New Roman" w:cs="Times New Roman" w:eastAsia="Times New Roman" w:hAnsi="Times New Roman"/>
          <w:sz w:val="14"/>
          <w:szCs w:val="14"/>
          <w:b w:val="1"/>
          <w:bCs w:val="1"/>
          <w:color w:val="auto"/>
        </w:rPr>
        <w:t>No Waiver; Cumulative Remedies</w:t>
      </w:r>
      <w:r>
        <w:rPr>
          <w:rFonts w:ascii="Times New Roman" w:cs="Times New Roman" w:eastAsia="Times New Roman" w:hAnsi="Times New Roman"/>
          <w:sz w:val="14"/>
          <w:szCs w:val="14"/>
          <w:color w:val="auto"/>
        </w:rPr>
        <w:t>. No failure on the part of Administrative Agent, any Lender, L/C Issuer, or Swing Line Lender to exercise and no delay in exercising, and no course of dealing with respect to, any right, remedy, power, or privilege under this Agreement shall operate as a waiver thereof, nor shall any single or partial exercise of any right, remedy, power, or privilege under this Agreement preclude any other or further exercise thereof or the exercise of any other right, remedy, power, or privilege. The rights and remedies provided for in this Agreement and the other Loan Documents are cumulative and not exclusive of any rights and remedies provided by Law.</w:t>
      </w:r>
    </w:p>
    <w:p>
      <w:pPr>
        <w:spacing w:after="0" w:line="1" w:lineRule="exact"/>
        <w:rPr>
          <w:sz w:val="20"/>
          <w:szCs w:val="20"/>
          <w:color w:val="auto"/>
        </w:rPr>
      </w:pPr>
    </w:p>
    <w:p>
      <w:pPr>
        <w:jc w:val="both"/>
        <w:ind w:left="8" w:firstLine="432"/>
        <w:spacing w:after="0" w:line="244" w:lineRule="auto"/>
        <w:rPr>
          <w:sz w:val="20"/>
          <w:szCs w:val="20"/>
          <w:color w:val="auto"/>
        </w:rPr>
      </w:pPr>
      <w:r>
        <w:rPr>
          <w:rFonts w:ascii="Times New Roman" w:cs="Times New Roman" w:eastAsia="Times New Roman" w:hAnsi="Times New Roman"/>
          <w:sz w:val="14"/>
          <w:szCs w:val="14"/>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Administrative Agent in accordance with </w:t>
      </w:r>
      <w:r>
        <w:rPr>
          <w:rFonts w:ascii="Times New Roman" w:cs="Times New Roman" w:eastAsia="Times New Roman" w:hAnsi="Times New Roman"/>
          <w:sz w:val="14"/>
          <w:szCs w:val="14"/>
          <w:b w:val="1"/>
          <w:bCs w:val="1"/>
          <w:i w:val="1"/>
          <w:iCs w:val="1"/>
          <w:color w:val="auto"/>
        </w:rPr>
        <w:t>Section 9.2</w:t>
      </w:r>
      <w:r>
        <w:rPr>
          <w:rFonts w:ascii="Times New Roman" w:cs="Times New Roman" w:eastAsia="Times New Roman" w:hAnsi="Times New Roman"/>
          <w:sz w:val="14"/>
          <w:szCs w:val="14"/>
          <w:color w:val="auto"/>
        </w:rPr>
        <w:t xml:space="preserve"> for the benefit of all the Lenders;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the foregoing shall not prohibit (a) Administrative Agent from exercising on its own behalf the rights and remedies that inure to its benefit (solely in its capacity as Administrative Agent) hereunder and under the other Loan Documents, (b) Swing Line Lender from exercising the rights and remedies that inure to its benefit (solely in its capacity as Swing Line Lender) hereunder and under the other Loan Documents, (c) any Lender from exercising setoff rights in accordance with </w:t>
      </w:r>
      <w:r>
        <w:rPr>
          <w:rFonts w:ascii="Times New Roman" w:cs="Times New Roman" w:eastAsia="Times New Roman" w:hAnsi="Times New Roman"/>
          <w:sz w:val="14"/>
          <w:szCs w:val="14"/>
          <w:b w:val="1"/>
          <w:bCs w:val="1"/>
          <w:i w:val="1"/>
          <w:iCs w:val="1"/>
          <w:color w:val="auto"/>
        </w:rPr>
        <w:t>Section 4.2</w:t>
      </w:r>
      <w:r>
        <w:rPr>
          <w:rFonts w:ascii="Times New Roman" w:cs="Times New Roman" w:eastAsia="Times New Roman" w:hAnsi="Times New Roman"/>
          <w:sz w:val="14"/>
          <w:szCs w:val="14"/>
          <w:color w:val="auto"/>
        </w:rPr>
        <w:t xml:space="preserve"> (subject to the terms of </w:t>
      </w:r>
      <w:r>
        <w:rPr>
          <w:rFonts w:ascii="Times New Roman" w:cs="Times New Roman" w:eastAsia="Times New Roman" w:hAnsi="Times New Roman"/>
          <w:sz w:val="14"/>
          <w:szCs w:val="14"/>
          <w:b w:val="1"/>
          <w:bCs w:val="1"/>
          <w:i w:val="1"/>
          <w:iCs w:val="1"/>
          <w:color w:val="auto"/>
        </w:rPr>
        <w:t>Section 11.22</w:t>
      </w:r>
      <w:r>
        <w:rPr>
          <w:rFonts w:ascii="Times New Roman" w:cs="Times New Roman" w:eastAsia="Times New Roman" w:hAnsi="Times New Roman"/>
          <w:sz w:val="14"/>
          <w:szCs w:val="14"/>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if at any time there is no Person acting as Administrative Agent hereunder and under the other Loan Documents, then (i) the Required Lenders shall have the rights otherwise ascribed to Administrative Agent pursuant to </w:t>
      </w:r>
      <w:r>
        <w:rPr>
          <w:rFonts w:ascii="Times New Roman" w:cs="Times New Roman" w:eastAsia="Times New Roman" w:hAnsi="Times New Roman"/>
          <w:sz w:val="14"/>
          <w:szCs w:val="14"/>
          <w:b w:val="1"/>
          <w:bCs w:val="1"/>
          <w:i w:val="1"/>
          <w:iCs w:val="1"/>
          <w:color w:val="auto"/>
        </w:rPr>
        <w:t>Section 9.2</w:t>
      </w:r>
      <w:r>
        <w:rPr>
          <w:rFonts w:ascii="Times New Roman" w:cs="Times New Roman" w:eastAsia="Times New Roman" w:hAnsi="Times New Roman"/>
          <w:sz w:val="14"/>
          <w:szCs w:val="14"/>
          <w:color w:val="auto"/>
        </w:rPr>
        <w:t xml:space="preserve"> and (ii) in addition to the matters set forth in </w:t>
      </w:r>
      <w:r>
        <w:rPr>
          <w:rFonts w:ascii="Times New Roman" w:cs="Times New Roman" w:eastAsia="Times New Roman" w:hAnsi="Times New Roman"/>
          <w:sz w:val="14"/>
          <w:szCs w:val="14"/>
          <w:b w:val="1"/>
          <w:bCs w:val="1"/>
          <w:i w:val="1"/>
          <w:iCs w:val="1"/>
          <w:color w:val="auto"/>
        </w:rPr>
        <w:t>clauses (b)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(c)</w:t>
      </w:r>
      <w:r>
        <w:rPr>
          <w:rFonts w:ascii="Times New Roman" w:cs="Times New Roman" w:eastAsia="Times New Roman" w:hAnsi="Times New Roman"/>
          <w:sz w:val="14"/>
          <w:szCs w:val="14"/>
          <w:color w:val="auto"/>
        </w:rPr>
        <w:t xml:space="preserve"> and</w:t>
      </w:r>
    </w:p>
    <w:p>
      <w:pPr>
        <w:spacing w:after="0" w:line="3" w:lineRule="exact"/>
        <w:rPr>
          <w:sz w:val="20"/>
          <w:szCs w:val="20"/>
          <w:color w:val="auto"/>
        </w:rPr>
      </w:pPr>
    </w:p>
    <w:p>
      <w:pPr>
        <w:ind w:left="8" w:right="20" w:hanging="8"/>
        <w:spacing w:after="0" w:line="249" w:lineRule="auto"/>
        <w:tabs>
          <w:tab w:leader="none" w:pos="224" w:val="left"/>
        </w:tabs>
        <w:numPr>
          <w:ilvl w:val="0"/>
          <w:numId w:val="19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of the preceding proviso and subject to </w:t>
      </w:r>
      <w:r>
        <w:rPr>
          <w:rFonts w:ascii="Times New Roman" w:cs="Times New Roman" w:eastAsia="Times New Roman" w:hAnsi="Times New Roman"/>
          <w:sz w:val="14"/>
          <w:szCs w:val="14"/>
          <w:b w:val="1"/>
          <w:bCs w:val="1"/>
          <w:i w:val="1"/>
          <w:iCs w:val="1"/>
          <w:color w:val="auto"/>
        </w:rPr>
        <w:t>Section 11.22</w:t>
      </w:r>
      <w:r>
        <w:rPr>
          <w:rFonts w:ascii="Times New Roman" w:cs="Times New Roman" w:eastAsia="Times New Roman" w:hAnsi="Times New Roman"/>
          <w:sz w:val="14"/>
          <w:szCs w:val="14"/>
          <w:color w:val="auto"/>
        </w:rPr>
        <w:t>, any Lender may, with the consent of the Required Lenders, enforce any rights and remedies available to it and as authorized by the Required Lenders.</w:t>
      </w:r>
    </w:p>
    <w:p>
      <w:pPr>
        <w:ind w:left="8"/>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 xml:space="preserve">Section 11.8  </w:t>
      </w:r>
      <w:r>
        <w:rPr>
          <w:rFonts w:ascii="Times New Roman" w:cs="Times New Roman" w:eastAsia="Times New Roman" w:hAnsi="Times New Roman"/>
          <w:sz w:val="14"/>
          <w:szCs w:val="14"/>
          <w:b w:val="1"/>
          <w:bCs w:val="1"/>
          <w:u w:val="single" w:color="auto"/>
          <w:color w:val="auto"/>
        </w:rPr>
        <w:t>Successors and Assigns.</w:t>
      </w:r>
    </w:p>
    <w:p>
      <w:pPr>
        <w:spacing w:after="0" w:line="35" w:lineRule="exact"/>
        <w:rPr>
          <w:rFonts w:ascii="Times New Roman" w:cs="Times New Roman" w:eastAsia="Times New Roman" w:hAnsi="Times New Roman"/>
          <w:sz w:val="14"/>
          <w:szCs w:val="14"/>
          <w:b w:val="1"/>
          <w:bCs w:val="1"/>
          <w:i w:val="1"/>
          <w:iCs w:val="1"/>
          <w:color w:val="auto"/>
        </w:rPr>
      </w:pPr>
    </w:p>
    <w:p>
      <w:pPr>
        <w:jc w:val="both"/>
        <w:ind w:left="428" w:firstLine="436"/>
        <w:spacing w:after="0" w:line="263" w:lineRule="auto"/>
        <w:tabs>
          <w:tab w:leader="none" w:pos="1192" w:val="left"/>
        </w:tabs>
        <w:numPr>
          <w:ilvl w:val="1"/>
          <w:numId w:val="1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Successors and Assigns Generally</w:t>
      </w:r>
      <w:r>
        <w:rPr>
          <w:rFonts w:ascii="Times New Roman" w:cs="Times New Roman" w:eastAsia="Times New Roman" w:hAnsi="Times New Roman"/>
          <w:sz w:val="14"/>
          <w:szCs w:val="14"/>
          <w:color w:val="auto"/>
        </w:rPr>
        <w:t>. The provisions of this Agreement shall be binding upon and inure to the benefit of the parties hereto and their respective successors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assigns permitted hereby, except that no Loan Party may assign or otherwise transfer any of its rights, duties, or obligations under this Agreement or the other Loan Documents without the prior written consent of Administrative Agent and each Lender, and no Lender may assign or otherwise</w:t>
      </w:r>
    </w:p>
    <w:p>
      <w:pPr>
        <w:spacing w:after="0" w:line="3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11308"/>
          </w:cols>
          <w:pgMar w:left="292" w:top="287" w:right="29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 xml:space="preserve">transfer any of its rights or obligations hereunder except (i) to an assignee in accordance with the provisions of </w:t>
      </w:r>
      <w:r>
        <w:rPr>
          <w:rFonts w:ascii="Times New Roman" w:cs="Times New Roman" w:eastAsia="Times New Roman" w:hAnsi="Times New Roman"/>
          <w:sz w:val="14"/>
          <w:szCs w:val="14"/>
          <w:b w:val="1"/>
          <w:bCs w:val="1"/>
          <w:i w:val="1"/>
          <w:iCs w:val="1"/>
          <w:color w:val="auto"/>
        </w:rPr>
        <w:t>Section 11.8(b)</w:t>
      </w:r>
      <w:r>
        <w:rPr>
          <w:rFonts w:ascii="Times New Roman" w:cs="Times New Roman" w:eastAsia="Times New Roman" w:hAnsi="Times New Roman"/>
          <w:sz w:val="14"/>
          <w:szCs w:val="14"/>
          <w:color w:val="auto"/>
        </w:rPr>
        <w:t xml:space="preserve">, (ii) by way of participation in accordance with the provisions of </w:t>
      </w:r>
      <w:r>
        <w:rPr>
          <w:rFonts w:ascii="Times New Roman" w:cs="Times New Roman" w:eastAsia="Times New Roman" w:hAnsi="Times New Roman"/>
          <w:sz w:val="14"/>
          <w:szCs w:val="14"/>
          <w:b w:val="1"/>
          <w:bCs w:val="1"/>
          <w:i w:val="1"/>
          <w:iCs w:val="1"/>
          <w:color w:val="auto"/>
        </w:rPr>
        <w:t>Section 11.8(d)</w:t>
      </w:r>
      <w:r>
        <w:rPr>
          <w:rFonts w:ascii="Times New Roman" w:cs="Times New Roman" w:eastAsia="Times New Roman" w:hAnsi="Times New Roman"/>
          <w:sz w:val="14"/>
          <w:szCs w:val="14"/>
          <w:color w:val="auto"/>
        </w:rPr>
        <w:t xml:space="preserve">, or (iii) by way of pledge or assignment of a security interest subject to the restrictions of </w:t>
      </w:r>
      <w:r>
        <w:rPr>
          <w:rFonts w:ascii="Times New Roman" w:cs="Times New Roman" w:eastAsia="Times New Roman" w:hAnsi="Times New Roman"/>
          <w:sz w:val="14"/>
          <w:szCs w:val="14"/>
          <w:b w:val="1"/>
          <w:bCs w:val="1"/>
          <w:i w:val="1"/>
          <w:iCs w:val="1"/>
          <w:color w:val="auto"/>
        </w:rPr>
        <w:t>Section 11.8(e)</w:t>
      </w:r>
      <w:r>
        <w:rPr>
          <w:rFonts w:ascii="Times New Roman" w:cs="Times New Roman" w:eastAsia="Times New Roman" w:hAnsi="Times New Roman"/>
          <w:sz w:val="14"/>
          <w:szCs w:val="14"/>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4"/>
          <w:szCs w:val="14"/>
          <w:b w:val="1"/>
          <w:bCs w:val="1"/>
          <w:i w:val="1"/>
          <w:iCs w:val="1"/>
          <w:color w:val="auto"/>
        </w:rPr>
        <w:t>Section 11.8(d)</w:t>
      </w:r>
      <w:r>
        <w:rPr>
          <w:rFonts w:ascii="Times New Roman" w:cs="Times New Roman" w:eastAsia="Times New Roman" w:hAnsi="Times New Roman"/>
          <w:sz w:val="14"/>
          <w:szCs w:val="14"/>
          <w:color w:val="auto"/>
        </w:rPr>
        <w:t xml:space="preserve"> and, to the extent expressly contemplated hereby, the Related Parties of each of Administrative Agent and Lenders) any legal or equitable right, remedy or claim under or by reason of this Agreement.</w:t>
      </w:r>
    </w:p>
    <w:p>
      <w:pPr>
        <w:spacing w:after="0" w:line="3" w:lineRule="exact"/>
        <w:rPr>
          <w:sz w:val="20"/>
          <w:szCs w:val="20"/>
          <w:color w:val="auto"/>
        </w:rPr>
      </w:pPr>
    </w:p>
    <w:p>
      <w:pPr>
        <w:ind w:right="20" w:firstLine="436"/>
        <w:spacing w:after="0" w:line="261" w:lineRule="auto"/>
        <w:tabs>
          <w:tab w:leader="none" w:pos="762" w:val="left"/>
        </w:tabs>
        <w:numPr>
          <w:ilvl w:val="0"/>
          <w:numId w:val="1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Assignments by Lenders</w:t>
      </w:r>
      <w:r>
        <w:rPr>
          <w:rFonts w:ascii="Times New Roman" w:cs="Times New Roman" w:eastAsia="Times New Roman" w:hAnsi="Times New Roman"/>
          <w:sz w:val="14"/>
          <w:szCs w:val="14"/>
          <w:color w:val="auto"/>
        </w:rPr>
        <w:t>. Any Lender may at any time assign to one or more assignees all or a portion of its rights and obligations under this Agreement (including all or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portion of its Commitment(s) and the Loans at the time owing to it);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assignment shall be subject to the following conditions:</w:t>
      </w:r>
    </w:p>
    <w:p>
      <w:pPr>
        <w:jc w:val="both"/>
        <w:ind w:left="440" w:firstLine="428"/>
        <w:spacing w:after="0" w:line="247" w:lineRule="auto"/>
        <w:tabs>
          <w:tab w:leader="none" w:pos="1152" w:val="left"/>
        </w:tabs>
        <w:numPr>
          <w:ilvl w:val="1"/>
          <w:numId w:val="1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Minimum Amounts</w:t>
      </w:r>
      <w:r>
        <w:rPr>
          <w:rFonts w:ascii="Times New Roman" w:cs="Times New Roman" w:eastAsia="Times New Roman" w:hAnsi="Times New Roman"/>
          <w:sz w:val="14"/>
          <w:szCs w:val="14"/>
          <w:color w:val="auto"/>
        </w:rPr>
        <w:t>. (A) in the case of an assignment of the entire remaining amount of the assigning Lender’s Commitment(s) and/or the Loans at the time owing to 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or contemporaneous assignments to related Approved Funds (determined after giving effect to such assignments) that equal at least the amount specified in </w:t>
      </w:r>
      <w:r>
        <w:rPr>
          <w:rFonts w:ascii="Times New Roman" w:cs="Times New Roman" w:eastAsia="Times New Roman" w:hAnsi="Times New Roman"/>
          <w:sz w:val="14"/>
          <w:szCs w:val="14"/>
          <w:b w:val="1"/>
          <w:bCs w:val="1"/>
          <w:i w:val="1"/>
          <w:iCs w:val="1"/>
          <w:color w:val="auto"/>
        </w:rPr>
        <w:t>Section 11.8(b)(i)(B)</w:t>
      </w:r>
      <w:r>
        <w:rPr>
          <w:rFonts w:ascii="Times New Roman" w:cs="Times New Roman" w:eastAsia="Times New Roman" w:hAnsi="Times New Roman"/>
          <w:sz w:val="14"/>
          <w:szCs w:val="14"/>
          <w:color w:val="auto"/>
        </w:rPr>
        <w:t xml:space="preserve"> in the aggregate or in the case of an assignment to a Lender, an Affiliate of a Lender or an Approved Fund, no minimum amount need be assigned; and (B) in any case not described in </w:t>
      </w:r>
      <w:r>
        <w:rPr>
          <w:rFonts w:ascii="Times New Roman" w:cs="Times New Roman" w:eastAsia="Times New Roman" w:hAnsi="Times New Roman"/>
          <w:sz w:val="14"/>
          <w:szCs w:val="14"/>
          <w:b w:val="1"/>
          <w:bCs w:val="1"/>
          <w:i w:val="1"/>
          <w:iCs w:val="1"/>
          <w:color w:val="auto"/>
        </w:rPr>
        <w:t>Section 11.8(b)(i)(A)</w:t>
      </w:r>
      <w:r>
        <w:rPr>
          <w:rFonts w:ascii="Times New Roman" w:cs="Times New Roman" w:eastAsia="Times New Roman" w:hAnsi="Times New Roman"/>
          <w:sz w:val="14"/>
          <w:szCs w:val="14"/>
          <w:color w:val="auto"/>
        </w:rPr>
        <w:t>, the aggregate amount of the Commitment(s) (which for this purpose includes Loans outstanding hereunder) or, if the applicable Commitment is not then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effect, the Outstanding Amount of the Loans of the assigning Lender subject to each such assignment (determined as of the date the Assignment and Assumption with respect to such assignment is delivered to Administrative Agent or, if “Trade Date” is specified in the Assignment and Assumption, as of the Trade Date) shall not be less than $5,000,000, unless each of Administrative Agent and, so long as no Event of Default has occurred and is continuing, the Borrower Representative otherwise consents (each such consent not to be unreasonably withheld or delayed).</w:t>
      </w:r>
    </w:p>
    <w:p>
      <w:pPr>
        <w:spacing w:after="0" w:line="6" w:lineRule="exact"/>
        <w:rPr>
          <w:rFonts w:ascii="Times New Roman" w:cs="Times New Roman" w:eastAsia="Times New Roman" w:hAnsi="Times New Roman"/>
          <w:sz w:val="14"/>
          <w:szCs w:val="14"/>
          <w:b w:val="1"/>
          <w:bCs w:val="1"/>
          <w:color w:val="auto"/>
        </w:rPr>
      </w:pPr>
    </w:p>
    <w:p>
      <w:pPr>
        <w:ind w:left="440" w:right="20" w:firstLine="428"/>
        <w:spacing w:after="0" w:line="262" w:lineRule="auto"/>
        <w:tabs>
          <w:tab w:leader="none" w:pos="1199" w:val="left"/>
        </w:tabs>
        <w:numPr>
          <w:ilvl w:val="1"/>
          <w:numId w:val="1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Proportionate Amounts</w:t>
      </w:r>
      <w:r>
        <w:rPr>
          <w:rFonts w:ascii="Times New Roman" w:cs="Times New Roman" w:eastAsia="Times New Roman" w:hAnsi="Times New Roman"/>
          <w:sz w:val="14"/>
          <w:szCs w:val="14"/>
          <w:color w:val="auto"/>
        </w:rPr>
        <w:t>. Each partial assignment shall be made as an assignment of a proportionate part of all the assigning Lender’s rights and obligations under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with respect to the Loan or the Commitment(s) assigned.</w:t>
      </w:r>
    </w:p>
    <w:p>
      <w:pPr>
        <w:jc w:val="both"/>
        <w:ind w:left="440" w:firstLine="428"/>
        <w:spacing w:after="0" w:line="248" w:lineRule="auto"/>
        <w:tabs>
          <w:tab w:leader="none" w:pos="1261" w:val="left"/>
        </w:tabs>
        <w:numPr>
          <w:ilvl w:val="1"/>
          <w:numId w:val="1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Required Consents</w:t>
      </w:r>
      <w:r>
        <w:rPr>
          <w:rFonts w:ascii="Times New Roman" w:cs="Times New Roman" w:eastAsia="Times New Roman" w:hAnsi="Times New Roman"/>
          <w:sz w:val="14"/>
          <w:szCs w:val="14"/>
          <w:color w:val="auto"/>
        </w:rPr>
        <w:t>. No consent shall be required for any assignment except to the extent required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11.8(b)(i)(B)</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in addition: (A) the consent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Borrower Representative shall be required (such consent not to be unreasonably withheld or delayed) unless (x) an Event of Default has occurred and is continuing at the time of such assignment, or (y) such assignment is to an existing Lender, an Affiliate of an existing Lender or an Approved Fund;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Borrower Representative shall be deemed to have consented to any such assignment to any Person unless it shall object thereto by written notice to the Administrative Agent within five (5) Business Days after having received notice thereof</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(B) the consent of Administrative Agent (such consent not to be unreasonably withheld or delayed) shall be required for assignments in respect of any Commitment or Revolving Credit Loans if such assignment is to a Person that is not a Lender with a Commitment, an Affiliate of such Lender or an Approved Fund with respect to such Lender; and (C) the consent of L/C Issuer and Swing Line Lender shall be required for any assignment in respect of the Revolving Credit Facility.</w:t>
      </w:r>
    </w:p>
    <w:p>
      <w:pPr>
        <w:spacing w:after="0" w:line="3" w:lineRule="exact"/>
        <w:rPr>
          <w:rFonts w:ascii="Times New Roman" w:cs="Times New Roman" w:eastAsia="Times New Roman" w:hAnsi="Times New Roman"/>
          <w:sz w:val="14"/>
          <w:szCs w:val="14"/>
          <w:b w:val="1"/>
          <w:bCs w:val="1"/>
          <w:color w:val="auto"/>
        </w:rPr>
      </w:pPr>
    </w:p>
    <w:p>
      <w:pPr>
        <w:jc w:val="both"/>
        <w:ind w:left="440" w:right="20" w:firstLine="428"/>
        <w:spacing w:after="0" w:line="263" w:lineRule="auto"/>
        <w:tabs>
          <w:tab w:leader="none" w:pos="1270" w:val="left"/>
        </w:tabs>
        <w:numPr>
          <w:ilvl w:val="1"/>
          <w:numId w:val="1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Assignment and Assumption</w:t>
      </w:r>
      <w:r>
        <w:rPr>
          <w:rFonts w:ascii="Times New Roman" w:cs="Times New Roman" w:eastAsia="Times New Roman" w:hAnsi="Times New Roman"/>
          <w:sz w:val="14"/>
          <w:szCs w:val="14"/>
          <w:color w:val="auto"/>
        </w:rPr>
        <w:t>. The parties to each assignment shall execute and deliver to Administrative Agent an Assignment and Assumption, together with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processing and recordation fee of $3,500;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Administrative Agent may, in its sole discretion, elect to waive such processing and recordation fee in the case of any assignment;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Borrowers shall not be obligated to pay for such processing and recording fee except in the case of any assignment made pursuant to the</w:t>
      </w:r>
    </w:p>
    <w:p>
      <w:pPr>
        <w:spacing w:after="0" w:line="36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10880"/>
          </w:cols>
          <w:pgMar w:left="720" w:top="287" w:right="29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 xml:space="preserve">request of the Borrower Representative under </w:t>
      </w:r>
      <w:r>
        <w:rPr>
          <w:rFonts w:ascii="Times New Roman" w:cs="Times New Roman" w:eastAsia="Times New Roman" w:hAnsi="Times New Roman"/>
          <w:sz w:val="14"/>
          <w:szCs w:val="14"/>
          <w:b w:val="1"/>
          <w:bCs w:val="1"/>
          <w:i w:val="1"/>
          <w:iCs w:val="1"/>
          <w:color w:val="auto"/>
        </w:rPr>
        <w:t>Section 3.6(b)</w:t>
      </w:r>
      <w:r>
        <w:rPr>
          <w:rFonts w:ascii="Times New Roman" w:cs="Times New Roman" w:eastAsia="Times New Roman" w:hAnsi="Times New Roman"/>
          <w:sz w:val="14"/>
          <w:szCs w:val="14"/>
          <w:color w:val="auto"/>
        </w:rPr>
        <w:t>. The assignee, if it is not a Lender, shall deliver to Administrative Agent an Administrative Questionnaire.</w:t>
      </w:r>
    </w:p>
    <w:p>
      <w:pPr>
        <w:spacing w:after="0" w:line="39" w:lineRule="exact"/>
        <w:rPr>
          <w:sz w:val="20"/>
          <w:szCs w:val="20"/>
          <w:color w:val="auto"/>
        </w:rPr>
      </w:pPr>
    </w:p>
    <w:p>
      <w:pPr>
        <w:ind w:left="440" w:right="20" w:firstLine="428"/>
        <w:spacing w:after="0" w:line="268" w:lineRule="auto"/>
        <w:tabs>
          <w:tab w:leader="none" w:pos="1224" w:val="left"/>
        </w:tabs>
        <w:numPr>
          <w:ilvl w:val="0"/>
          <w:numId w:val="1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 Assignment to Certain Persons</w:t>
      </w:r>
      <w:r>
        <w:rPr>
          <w:rFonts w:ascii="Times New Roman" w:cs="Times New Roman" w:eastAsia="Times New Roman" w:hAnsi="Times New Roman"/>
          <w:sz w:val="14"/>
          <w:szCs w:val="14"/>
          <w:color w:val="auto"/>
        </w:rPr>
        <w:t>. No such assignment shall be made to (A) any Loan Party, or to either of their Affiliates or Subsidiaries or (B) any Defaulting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Lender or any of its Affiliates, or any Person who, upon becoming a Lender hereunder, would constitute any of the foregoing Persons described in this </w:t>
      </w:r>
      <w:r>
        <w:rPr>
          <w:rFonts w:ascii="Times New Roman" w:cs="Times New Roman" w:eastAsia="Times New Roman" w:hAnsi="Times New Roman"/>
          <w:sz w:val="14"/>
          <w:szCs w:val="14"/>
          <w:b w:val="1"/>
          <w:bCs w:val="1"/>
          <w:i w:val="1"/>
          <w:iCs w:val="1"/>
          <w:color w:val="auto"/>
        </w:rPr>
        <w:t>clause (b)</w:t>
      </w:r>
      <w:r>
        <w:rPr>
          <w:rFonts w:ascii="Times New Roman" w:cs="Times New Roman" w:eastAsia="Times New Roman" w:hAnsi="Times New Roman"/>
          <w:sz w:val="14"/>
          <w:szCs w:val="14"/>
          <w:color w:val="auto"/>
        </w:rPr>
        <w:t>.</w:t>
      </w:r>
    </w:p>
    <w:p>
      <w:pPr>
        <w:ind w:left="440" w:firstLine="428"/>
        <w:spacing w:after="0" w:line="268" w:lineRule="auto"/>
        <w:tabs>
          <w:tab w:leader="none" w:pos="1273" w:val="left"/>
        </w:tabs>
        <w:numPr>
          <w:ilvl w:val="0"/>
          <w:numId w:val="1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 Assignment to Natural Persons</w:t>
      </w:r>
      <w:r>
        <w:rPr>
          <w:rFonts w:ascii="Times New Roman" w:cs="Times New Roman" w:eastAsia="Times New Roman" w:hAnsi="Times New Roman"/>
          <w:sz w:val="14"/>
          <w:szCs w:val="14"/>
          <w:color w:val="auto"/>
        </w:rPr>
        <w:t>. No such assignment shall be made to a natural Person (or a holding company, investment vehicle or trust for, or owned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operated for the primary benefit of, a natural Person).</w:t>
      </w:r>
    </w:p>
    <w:p>
      <w:pPr>
        <w:jc w:val="both"/>
        <w:ind w:left="440" w:firstLine="428"/>
        <w:spacing w:after="0" w:line="245" w:lineRule="auto"/>
        <w:tabs>
          <w:tab w:leader="none" w:pos="1342" w:val="left"/>
        </w:tabs>
        <w:numPr>
          <w:ilvl w:val="0"/>
          <w:numId w:val="1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Certain Additional Payments</w:t>
      </w:r>
      <w:r>
        <w:rPr>
          <w:rFonts w:ascii="Times New Roman" w:cs="Times New Roman" w:eastAsia="Times New Roman" w:hAnsi="Times New Roman"/>
          <w:sz w:val="14"/>
          <w:szCs w:val="14"/>
          <w:color w:val="auto"/>
        </w:rPr>
        <w:t>. In connection with any assignment of rights and obligations of any Defaulting Lender hereunder, no such assignment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effective unless and until, in addition to the other conditions thereto set forth herein, the parties to such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the Borrower Representative and Administrative Agent, the applicable pro rata share of Loans previously requested but not funded by such Defaulting Lender, to each of which the applicable assignee and assignor hereby irrevocably consent), to: (A) pay and satisfy in full all payment liabilities then owed by such Defaulting Lender to Administrative Agent or any Lender hereunder (and interest accrued thereon) and (B)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4"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4"/>
          <w:szCs w:val="14"/>
          <w:color w:val="auto"/>
        </w:rPr>
        <w:t xml:space="preserve">Subject to acceptance and recording thereof by Administrative Agent pursuant to </w:t>
      </w:r>
      <w:r>
        <w:rPr>
          <w:rFonts w:ascii="Times New Roman" w:cs="Times New Roman" w:eastAsia="Times New Roman" w:hAnsi="Times New Roman"/>
          <w:sz w:val="14"/>
          <w:szCs w:val="14"/>
          <w:b w:val="1"/>
          <w:bCs w:val="1"/>
          <w:i w:val="1"/>
          <w:iCs w:val="1"/>
          <w:color w:val="auto"/>
        </w:rPr>
        <w:t>Section 11.8(c)</w:t>
      </w:r>
      <w:r>
        <w:rPr>
          <w:rFonts w:ascii="Times New Roman" w:cs="Times New Roman" w:eastAsia="Times New Roman" w:hAnsi="Times New Roman"/>
          <w:sz w:val="14"/>
          <w:szCs w:val="14"/>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4"/>
          <w:szCs w:val="14"/>
          <w:b w:val="1"/>
          <w:bCs w:val="1"/>
          <w:i w:val="1"/>
          <w:iCs w:val="1"/>
          <w:color w:val="auto"/>
        </w:rPr>
        <w:t>Section 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Section 3.2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Section 11.1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Section 11.2</w:t>
      </w:r>
      <w:r>
        <w:rPr>
          <w:rFonts w:ascii="Times New Roman" w:cs="Times New Roman" w:eastAsia="Times New Roman" w:hAnsi="Times New Roman"/>
          <w:sz w:val="14"/>
          <w:szCs w:val="14"/>
          <w:color w:val="auto"/>
        </w:rPr>
        <w:t xml:space="preserve"> with respect to facts and circumstances occurring prior to the effective date of such assignment;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w:t>
      </w:r>
      <w:r>
        <w:rPr>
          <w:rFonts w:ascii="Times New Roman" w:cs="Times New Roman" w:eastAsia="Times New Roman" w:hAnsi="Times New Roman"/>
          <w:sz w:val="14"/>
          <w:szCs w:val="14"/>
          <w:b w:val="1"/>
          <w:bCs w:val="1"/>
          <w:i w:val="1"/>
          <w:iCs w:val="1"/>
          <w:color w:val="auto"/>
        </w:rPr>
        <w:t>subsection</w:t>
      </w:r>
      <w:r>
        <w:rPr>
          <w:rFonts w:ascii="Times New Roman" w:cs="Times New Roman" w:eastAsia="Times New Roman" w:hAnsi="Times New Roman"/>
          <w:sz w:val="14"/>
          <w:szCs w:val="14"/>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4"/>
          <w:szCs w:val="14"/>
          <w:b w:val="1"/>
          <w:bCs w:val="1"/>
          <w:i w:val="1"/>
          <w:iCs w:val="1"/>
          <w:color w:val="auto"/>
        </w:rPr>
        <w:t>Section 11.8(d)</w:t>
      </w:r>
      <w:r>
        <w:rPr>
          <w:rFonts w:ascii="Times New Roman" w:cs="Times New Roman" w:eastAsia="Times New Roman" w:hAnsi="Times New Roman"/>
          <w:sz w:val="14"/>
          <w:szCs w:val="14"/>
          <w:color w:val="auto"/>
        </w:rPr>
        <w:t xml:space="preserve">. Upon the consummation of any assignment pursuant to this </w:t>
      </w:r>
      <w:r>
        <w:rPr>
          <w:rFonts w:ascii="Times New Roman" w:cs="Times New Roman" w:eastAsia="Times New Roman" w:hAnsi="Times New Roman"/>
          <w:sz w:val="14"/>
          <w:szCs w:val="14"/>
          <w:b w:val="1"/>
          <w:bCs w:val="1"/>
          <w:i w:val="1"/>
          <w:iCs w:val="1"/>
          <w:color w:val="auto"/>
        </w:rPr>
        <w:t>Section 11.8(b)</w:t>
      </w:r>
      <w:r>
        <w:rPr>
          <w:rFonts w:ascii="Times New Roman" w:cs="Times New Roman" w:eastAsia="Times New Roman" w:hAnsi="Times New Roman"/>
          <w:sz w:val="14"/>
          <w:szCs w:val="14"/>
          <w:color w:val="auto"/>
        </w:rPr>
        <w:t>, if requested by the transferor or transferee Lender, the transferor Lender, Administrative Agent and Borrowers shall make appropriate arrangements so that replacement Notes are issued to such transferor Lender (if applicable) and new Notes or, as appropriate, replacement Notes, are issued to the assignee.</w:t>
      </w:r>
    </w:p>
    <w:p>
      <w:pPr>
        <w:spacing w:after="0" w:line="6" w:lineRule="exact"/>
        <w:rPr>
          <w:sz w:val="20"/>
          <w:szCs w:val="20"/>
          <w:color w:val="auto"/>
        </w:rPr>
      </w:pPr>
    </w:p>
    <w:p>
      <w:pPr>
        <w:jc w:val="both"/>
        <w:ind w:firstLine="436"/>
        <w:spacing w:after="0" w:line="263" w:lineRule="auto"/>
        <w:tabs>
          <w:tab w:leader="none" w:pos="790" w:val="left"/>
        </w:tabs>
        <w:numPr>
          <w:ilvl w:val="0"/>
          <w:numId w:val="1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Register</w:t>
      </w:r>
      <w:r>
        <w:rPr>
          <w:rFonts w:ascii="Times New Roman" w:cs="Times New Roman" w:eastAsia="Times New Roman" w:hAnsi="Times New Roman"/>
          <w:sz w:val="14"/>
          <w:szCs w:val="14"/>
          <w:color w:val="auto"/>
        </w:rPr>
        <w:t>. Administrative Agent, acting solely for this purpose as a non-fiduciary agent of Borrowers, shall maintain at one of its offices in Dallas, Texas a copy of 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Assignment and Assumption delivered to it and a Register. The entries in the Register shall be conclusive absent manifest error, and Borrowers, Administrative Agent and Lenders shall treat each Person</w:t>
      </w:r>
    </w:p>
    <w:p>
      <w:pPr>
        <w:spacing w:after="0" w:line="36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133</w:t>
      </w:r>
    </w:p>
    <w:p>
      <w:pPr>
        <w:sectPr>
          <w:pgSz w:w="11900" w:h="16838" w:orient="portrait"/>
          <w:cols w:equalWidth="0" w:num="1">
            <w:col w:w="10880"/>
          </w:cols>
          <w:pgMar w:left="720" w:top="287" w:right="29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whose name is recorded in the Register pursuant to the terms hereof as a Lender hereunder for all purposes of this Agreement. The Register shall be available for inspection by Borrowers and any Lender, at any reasonable time and from time to time upon reasonable prior notice.</w:t>
      </w:r>
    </w:p>
    <w:p>
      <w:pPr>
        <w:spacing w:after="0" w:line="1" w:lineRule="exact"/>
        <w:rPr>
          <w:sz w:val="20"/>
          <w:szCs w:val="20"/>
          <w:color w:val="auto"/>
        </w:rPr>
      </w:pPr>
    </w:p>
    <w:p>
      <w:pPr>
        <w:jc w:val="both"/>
        <w:ind w:firstLine="436"/>
        <w:spacing w:after="0" w:line="249" w:lineRule="auto"/>
        <w:tabs>
          <w:tab w:leader="none" w:pos="752" w:val="left"/>
        </w:tabs>
        <w:numPr>
          <w:ilvl w:val="0"/>
          <w:numId w:val="2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Participations</w:t>
      </w:r>
      <w:r>
        <w:rPr>
          <w:rFonts w:ascii="Times New Roman" w:cs="Times New Roman" w:eastAsia="Times New Roman" w:hAnsi="Times New Roman"/>
          <w:sz w:val="14"/>
          <w:szCs w:val="14"/>
          <w:color w:val="auto"/>
        </w:rPr>
        <w:t>. Any Lender may at any time, without the consent of, or notice to, any Loan Party or Administrative Agent, sell participations to a Participant in all or a portion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of such Lender’s rights and/or obligations under this Agreement (including all or a portion of its Commitment(s) and/or the Loans owing to it);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 such Lender’s obligations under this Agreement shall remain unchanged, (ii) such Lender shall remain solely responsible to the other parties hereto for the performance of such obligations, and (iii) each Loan Party, Administrative Agent, and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4"/>
          <w:szCs w:val="14"/>
          <w:b w:val="1"/>
          <w:bCs w:val="1"/>
          <w:i w:val="1"/>
          <w:iCs w:val="1"/>
          <w:color w:val="auto"/>
        </w:rPr>
        <w:t>Section 11.1(b)</w:t>
      </w:r>
      <w:r>
        <w:rPr>
          <w:rFonts w:ascii="Times New Roman" w:cs="Times New Roman" w:eastAsia="Times New Roman" w:hAnsi="Times New Roman"/>
          <w:sz w:val="14"/>
          <w:szCs w:val="14"/>
          <w:color w:val="auto"/>
        </w:rPr>
        <w:t xml:space="preserve"> without regard to the existence of any participation.</w:t>
      </w:r>
    </w:p>
    <w:p>
      <w:pPr>
        <w:spacing w:after="0" w:line="4" w:lineRule="exact"/>
        <w:rPr>
          <w:sz w:val="20"/>
          <w:szCs w:val="20"/>
          <w:color w:val="auto"/>
        </w:rPr>
      </w:pPr>
    </w:p>
    <w:p>
      <w:pPr>
        <w:jc w:val="both"/>
        <w:ind w:firstLine="432"/>
        <w:spacing w:after="0" w:line="163" w:lineRule="exact"/>
        <w:rPr>
          <w:sz w:val="20"/>
          <w:szCs w:val="20"/>
          <w:color w:val="auto"/>
        </w:rPr>
      </w:pPr>
      <w:r>
        <w:rPr>
          <w:rFonts w:ascii="Times New Roman" w:cs="Times New Roman" w:eastAsia="Times New Roman" w:hAnsi="Times New Roman"/>
          <w:sz w:val="14"/>
          <w:szCs w:val="14"/>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agreement or instrument may provide that such Lender will not, without the consent of the Participant, agree to any amendment, modification or waiver described in </w:t>
      </w:r>
      <w:r>
        <w:rPr>
          <w:rFonts w:ascii="Times New Roman" w:cs="Times New Roman" w:eastAsia="Times New Roman" w:hAnsi="Times New Roman"/>
          <w:sz w:val="14"/>
          <w:szCs w:val="14"/>
          <w:b w:val="1"/>
          <w:bCs w:val="1"/>
          <w:i w:val="1"/>
          <w:iCs w:val="1"/>
          <w:color w:val="auto"/>
        </w:rPr>
        <w:t>Section 11.10</w:t>
      </w:r>
      <w:r>
        <w:rPr>
          <w:rFonts w:ascii="Times New Roman" w:cs="Times New Roman" w:eastAsia="Times New Roman" w:hAnsi="Times New Roman"/>
          <w:sz w:val="14"/>
          <w:szCs w:val="14"/>
          <w:color w:val="auto"/>
        </w:rPr>
        <w:t xml:space="preserve"> which requires the consent of all Lenders and affects such Participant. Each Borrower agrees that each Participant shall be entitled to the benefits of </w:t>
      </w:r>
      <w:r>
        <w:rPr>
          <w:rFonts w:ascii="Times New Roman" w:cs="Times New Roman" w:eastAsia="Times New Roman" w:hAnsi="Times New Roman"/>
          <w:sz w:val="14"/>
          <w:szCs w:val="14"/>
          <w:b w:val="1"/>
          <w:bCs w:val="1"/>
          <w:i w:val="1"/>
          <w:iCs w:val="1"/>
          <w:color w:val="auto"/>
        </w:rPr>
        <w:t>Sections 3.1, 3.4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3.5</w:t>
      </w:r>
      <w:r>
        <w:rPr>
          <w:rFonts w:ascii="Times New Roman" w:cs="Times New Roman" w:eastAsia="Times New Roman" w:hAnsi="Times New Roman"/>
          <w:sz w:val="14"/>
          <w:szCs w:val="14"/>
          <w:color w:val="auto"/>
        </w:rPr>
        <w:t xml:space="preserve"> (subject to the requirements and limitations therein, including the requirements under </w:t>
      </w:r>
      <w:r>
        <w:rPr>
          <w:rFonts w:ascii="Times New Roman" w:cs="Times New Roman" w:eastAsia="Times New Roman" w:hAnsi="Times New Roman"/>
          <w:sz w:val="14"/>
          <w:szCs w:val="14"/>
          <w:b w:val="1"/>
          <w:bCs w:val="1"/>
          <w:i w:val="1"/>
          <w:iCs w:val="1"/>
          <w:color w:val="auto"/>
        </w:rPr>
        <w:t>Section 3.4(g)</w:t>
      </w:r>
      <w:r>
        <w:rPr>
          <w:rFonts w:ascii="Times New Roman" w:cs="Times New Roman" w:eastAsia="Times New Roman" w:hAnsi="Times New Roman"/>
          <w:sz w:val="14"/>
          <w:szCs w:val="14"/>
          <w:color w:val="auto"/>
        </w:rPr>
        <w:t xml:space="preserve"> (it being understood that the documentation required under </w:t>
      </w:r>
      <w:r>
        <w:rPr>
          <w:rFonts w:ascii="Times New Roman" w:cs="Times New Roman" w:eastAsia="Times New Roman" w:hAnsi="Times New Roman"/>
          <w:sz w:val="14"/>
          <w:szCs w:val="14"/>
          <w:b w:val="1"/>
          <w:bCs w:val="1"/>
          <w:i w:val="1"/>
          <w:iCs w:val="1"/>
          <w:color w:val="auto"/>
        </w:rPr>
        <w:t>Section 3.4(g)</w:t>
      </w:r>
      <w:r>
        <w:rPr>
          <w:rFonts w:ascii="Times New Roman" w:cs="Times New Roman" w:eastAsia="Times New Roman" w:hAnsi="Times New Roman"/>
          <w:sz w:val="14"/>
          <w:szCs w:val="14"/>
          <w:color w:val="auto"/>
        </w:rPr>
        <w:t xml:space="preserve"> shall be delivered to the participating Lender)) to the same extent as if it were a Lender and had acquired its interest by assignment pursuant to paragraph (b) of this Section;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Participant (A) agrees to be subject to the provisions of </w:t>
      </w:r>
      <w:r>
        <w:rPr>
          <w:rFonts w:ascii="Times New Roman" w:cs="Times New Roman" w:eastAsia="Times New Roman" w:hAnsi="Times New Roman"/>
          <w:sz w:val="14"/>
          <w:szCs w:val="14"/>
          <w:b w:val="1"/>
          <w:bCs w:val="1"/>
          <w:i w:val="1"/>
          <w:iCs w:val="1"/>
          <w:color w:val="auto"/>
        </w:rPr>
        <w:t>Section 3.6</w:t>
      </w:r>
      <w:r>
        <w:rPr>
          <w:rFonts w:ascii="Times New Roman" w:cs="Times New Roman" w:eastAsia="Times New Roman" w:hAnsi="Times New Roman"/>
          <w:sz w:val="14"/>
          <w:szCs w:val="14"/>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14"/>
          <w:szCs w:val="14"/>
          <w:b w:val="1"/>
          <w:bCs w:val="1"/>
          <w:i w:val="1"/>
          <w:iCs w:val="1"/>
          <w:color w:val="auto"/>
        </w:rPr>
        <w:t>Sections 3.1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b w:val="1"/>
          <w:bCs w:val="1"/>
          <w:i w:val="1"/>
          <w:iCs w:val="1"/>
          <w:color w:val="auto"/>
        </w:rPr>
        <w:t>3.4</w:t>
      </w:r>
      <w:r>
        <w:rPr>
          <w:rFonts w:ascii="Times New Roman" w:cs="Times New Roman" w:eastAsia="Times New Roman" w:hAnsi="Times New Roman"/>
          <w:sz w:val="14"/>
          <w:szCs w:val="14"/>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Borrowers’ request and expense, to use reasonable efforts to cooperate with Borrowers to effectuate the provisions of </w:t>
      </w:r>
      <w:r>
        <w:rPr>
          <w:rFonts w:ascii="Times New Roman" w:cs="Times New Roman" w:eastAsia="Times New Roman" w:hAnsi="Times New Roman"/>
          <w:sz w:val="14"/>
          <w:szCs w:val="14"/>
          <w:b w:val="1"/>
          <w:bCs w:val="1"/>
          <w:i w:val="1"/>
          <w:iCs w:val="1"/>
          <w:color w:val="auto"/>
        </w:rPr>
        <w:t>Section 3.6</w:t>
      </w:r>
      <w:r>
        <w:rPr>
          <w:rFonts w:ascii="Times New Roman" w:cs="Times New Roman" w:eastAsia="Times New Roman" w:hAnsi="Times New Roman"/>
          <w:sz w:val="14"/>
          <w:szCs w:val="14"/>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4"/>
          <w:szCs w:val="14"/>
          <w:b w:val="1"/>
          <w:bCs w:val="1"/>
          <w:i w:val="1"/>
          <w:iCs w:val="1"/>
          <w:color w:val="auto"/>
        </w:rPr>
        <w:t>Section 11.24</w:t>
      </w:r>
      <w:r>
        <w:rPr>
          <w:rFonts w:ascii="Times New Roman" w:cs="Times New Roman" w:eastAsia="Times New Roman" w:hAnsi="Times New Roman"/>
          <w:sz w:val="14"/>
          <w:szCs w:val="14"/>
          <w:color w:val="auto"/>
        </w:rPr>
        <w:t xml:space="preserve"> as though it were a Lender;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Participant agrees to pay to Administrative Agent any amount set-off for application to the Obligations under the Loan Documents as required pursuant to </w:t>
      </w:r>
      <w:r>
        <w:rPr>
          <w:rFonts w:ascii="Times New Roman" w:cs="Times New Roman" w:eastAsia="Times New Roman" w:hAnsi="Times New Roman"/>
          <w:sz w:val="14"/>
          <w:szCs w:val="14"/>
          <w:b w:val="1"/>
          <w:bCs w:val="1"/>
          <w:i w:val="1"/>
          <w:iCs w:val="1"/>
          <w:color w:val="auto"/>
        </w:rPr>
        <w:t>Section 11.24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such Participant agrees to be subject to </w:t>
      </w:r>
      <w:r>
        <w:rPr>
          <w:rFonts w:ascii="Times New Roman" w:cs="Times New Roman" w:eastAsia="Times New Roman" w:hAnsi="Times New Roman"/>
          <w:sz w:val="14"/>
          <w:szCs w:val="14"/>
          <w:b w:val="1"/>
          <w:bCs w:val="1"/>
          <w:i w:val="1"/>
          <w:iCs w:val="1"/>
          <w:color w:val="auto"/>
        </w:rPr>
        <w:t>Section 11.22</w:t>
      </w:r>
      <w:r>
        <w:rPr>
          <w:rFonts w:ascii="Times New Roman" w:cs="Times New Roman" w:eastAsia="Times New Roman" w:hAnsi="Times New Roman"/>
          <w:sz w:val="14"/>
          <w:szCs w:val="14"/>
          <w:color w:val="auto"/>
        </w:rPr>
        <w:t xml:space="preserve"> as though it were a Lender. Each Lender that sells a participation shall, acting solely for this purpose as a non-fiduciary agent of Borrowers, maintain a Participant Register;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w:t>
      </w:r>
    </w:p>
    <w:p>
      <w:pPr>
        <w:spacing w:after="0" w:line="170" w:lineRule="exact"/>
        <w:rPr>
          <w:sz w:val="20"/>
          <w:szCs w:val="20"/>
          <w:color w:val="auto"/>
        </w:rPr>
      </w:pPr>
    </w:p>
    <w:p>
      <w:pPr>
        <w:ind w:firstLine="436"/>
        <w:spacing w:after="0" w:line="285" w:lineRule="auto"/>
        <w:tabs>
          <w:tab w:leader="none" w:pos="743" w:val="left"/>
        </w:tabs>
        <w:numPr>
          <w:ilvl w:val="0"/>
          <w:numId w:val="2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Certain Pledges</w:t>
      </w:r>
      <w:r>
        <w:rPr>
          <w:rFonts w:ascii="Times New Roman" w:cs="Times New Roman" w:eastAsia="Times New Roman" w:hAnsi="Times New Roman"/>
          <w:sz w:val="14"/>
          <w:szCs w:val="14"/>
          <w:color w:val="auto"/>
        </w:rPr>
        <w:t>. Any Lender may at any time pledge or assign a security interest in all or any portion of its rights under this Agreement to secure obligations of such Lender,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including any pledge or assignment to secure obligations to a Federal Reserve Bank;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w:t>
      </w:r>
    </w:p>
    <w:p>
      <w:pPr>
        <w:spacing w:after="0" w:line="34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10880"/>
          </w:cols>
          <w:pgMar w:left="720" w:top="287" w:right="29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no such pledge or assignment shall release such Lender from any of its obligations hereunder or substitute any such pledgee or assignee for such Lender as a party hereto.</w:t>
      </w:r>
    </w:p>
    <w:p>
      <w:pPr>
        <w:spacing w:after="0" w:line="35" w:lineRule="exact"/>
        <w:rPr>
          <w:sz w:val="20"/>
          <w:szCs w:val="20"/>
          <w:color w:val="auto"/>
        </w:rPr>
      </w:pPr>
    </w:p>
    <w:p>
      <w:pPr>
        <w:jc w:val="both"/>
        <w:ind w:left="420" w:firstLine="436"/>
        <w:spacing w:after="0" w:line="259" w:lineRule="auto"/>
        <w:tabs>
          <w:tab w:leader="none" w:pos="1170" w:val="left"/>
        </w:tabs>
        <w:numPr>
          <w:ilvl w:val="0"/>
          <w:numId w:val="2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Dissemination of Information</w:t>
      </w:r>
      <w:r>
        <w:rPr>
          <w:rFonts w:ascii="Times New Roman" w:cs="Times New Roman" w:eastAsia="Times New Roman" w:hAnsi="Times New Roman"/>
          <w:sz w:val="14"/>
          <w:szCs w:val="14"/>
          <w:color w:val="auto"/>
        </w:rPr>
        <w:t>. Each Loan Party authorizes Administrative Agent and each Lender to disclose to any actual purchaser or prospective purchaser, assignee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other recipient of a Lender’s Commitment, any and all information in Administrative Agent’s or such Lender’s possession concerning Borrowers, the other Loan Parties and their respective Affiliates, in each case subject to </w:t>
      </w:r>
      <w:r>
        <w:rPr>
          <w:rFonts w:ascii="Times New Roman" w:cs="Times New Roman" w:eastAsia="Times New Roman" w:hAnsi="Times New Roman"/>
          <w:sz w:val="14"/>
          <w:szCs w:val="14"/>
          <w:b w:val="1"/>
          <w:bCs w:val="1"/>
          <w:i w:val="1"/>
          <w:iCs w:val="1"/>
          <w:color w:val="auto"/>
        </w:rPr>
        <w:t>Section 11.25</w:t>
      </w:r>
      <w:r>
        <w:rPr>
          <w:rFonts w:ascii="Times New Roman" w:cs="Times New Roman" w:eastAsia="Times New Roman" w:hAnsi="Times New Roman"/>
          <w:sz w:val="14"/>
          <w:szCs w:val="14"/>
          <w:color w:val="auto"/>
        </w:rPr>
        <w:t xml:space="preserve"> hereof.</w:t>
      </w:r>
    </w:p>
    <w:p>
      <w:pPr>
        <w:spacing w:after="0" w:line="1"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4"/>
          <w:szCs w:val="14"/>
          <w:color w:val="auto"/>
        </w:rPr>
        <w:t xml:space="preserve">Section 11.9 </w:t>
      </w:r>
      <w:r>
        <w:rPr>
          <w:rFonts w:ascii="Times New Roman" w:cs="Times New Roman" w:eastAsia="Times New Roman" w:hAnsi="Times New Roman"/>
          <w:sz w:val="14"/>
          <w:szCs w:val="14"/>
          <w:b w:val="1"/>
          <w:bCs w:val="1"/>
          <w:u w:val="single" w:color="auto"/>
          <w:color w:val="auto"/>
        </w:rPr>
        <w:t>Survival.</w:t>
      </w:r>
      <w:r>
        <w:rPr>
          <w:rFonts w:ascii="Times New Roman" w:cs="Times New Roman" w:eastAsia="Times New Roman" w:hAnsi="Times New Roman"/>
          <w:sz w:val="14"/>
          <w:szCs w:val="14"/>
          <w:color w:val="auto"/>
        </w:rPr>
        <w:t xml:space="preserve"> All representations and warranties made in this Agreement or any other Loan Document or in any document, statement, or certificate furnished in connection with this Agreement shall survive the execution and delivery of this Agreement and the other Loan Documents, and no investigation by Administrative Agent or any Lender or any closing shall affect the representations and warranties or the right of Administrative Agent or any Lender to rely upon them. Without prejudice to the survival of any other obligation of any Loan Party hereunder, the obligations of Borrowers under </w:t>
      </w:r>
      <w:r>
        <w:rPr>
          <w:rFonts w:ascii="Times New Roman" w:cs="Times New Roman" w:eastAsia="Times New Roman" w:hAnsi="Times New Roman"/>
          <w:sz w:val="14"/>
          <w:szCs w:val="14"/>
          <w:b w:val="1"/>
          <w:bCs w:val="1"/>
          <w:i w:val="1"/>
          <w:iCs w:val="1"/>
          <w:color w:val="auto"/>
        </w:rPr>
        <w:t>Sections 11.1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11.2</w:t>
      </w:r>
      <w:r>
        <w:rPr>
          <w:rFonts w:ascii="Times New Roman" w:cs="Times New Roman" w:eastAsia="Times New Roman" w:hAnsi="Times New Roman"/>
          <w:sz w:val="14"/>
          <w:szCs w:val="14"/>
          <w:color w:val="auto"/>
        </w:rPr>
        <w:t xml:space="preserve"> shall survive repayment of the Obligations and termination of the Commitments.</w:t>
      </w:r>
    </w:p>
    <w:p>
      <w:pPr>
        <w:spacing w:after="0" w:line="2" w:lineRule="exact"/>
        <w:rPr>
          <w:sz w:val="20"/>
          <w:szCs w:val="20"/>
          <w:color w:val="auto"/>
        </w:rPr>
      </w:pPr>
    </w:p>
    <w:p>
      <w:pPr>
        <w:jc w:val="both"/>
        <w:ind w:right="20" w:firstLine="432"/>
        <w:spacing w:after="0" w:line="259" w:lineRule="auto"/>
        <w:rPr>
          <w:sz w:val="20"/>
          <w:szCs w:val="20"/>
          <w:color w:val="auto"/>
        </w:rPr>
      </w:pPr>
      <w:r>
        <w:rPr>
          <w:rFonts w:ascii="Times New Roman" w:cs="Times New Roman" w:eastAsia="Times New Roman" w:hAnsi="Times New Roman"/>
          <w:sz w:val="14"/>
          <w:szCs w:val="14"/>
          <w:color w:val="auto"/>
        </w:rPr>
        <w:t xml:space="preserve">Section 11.10 </w:t>
      </w:r>
      <w:r>
        <w:rPr>
          <w:rFonts w:ascii="Times New Roman" w:cs="Times New Roman" w:eastAsia="Times New Roman" w:hAnsi="Times New Roman"/>
          <w:sz w:val="14"/>
          <w:szCs w:val="14"/>
          <w:b w:val="1"/>
          <w:bCs w:val="1"/>
          <w:u w:val="single" w:color="auto"/>
          <w:color w:val="auto"/>
        </w:rPr>
        <w:t>Amendment.</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b w:val="1"/>
          <w:bCs w:val="1"/>
          <w:i w:val="1"/>
          <w:iCs w:val="1"/>
          <w:color w:val="auto"/>
        </w:rPr>
        <w:t>Section 3.3(b)</w:t>
      </w:r>
      <w:r>
        <w:rPr>
          <w:rFonts w:ascii="Times New Roman" w:cs="Times New Roman" w:eastAsia="Times New Roman" w:hAnsi="Times New Roman"/>
          <w:sz w:val="14"/>
          <w:szCs w:val="14"/>
          <w:color w:val="auto"/>
        </w:rPr>
        <w:t xml:space="preserve">, the provisions of this Agreement and the other Loan Documents to which Borrowers or any other Loan Party is a party (other than the Issuer Documents) may be amended or waived only by an instrument in writing signed by Required Lenders (or by Administrative Agent with the consent of Required Lenders) and each Loan Party thereto and acknowledged by Administrative Agent;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such amendment or waiver shall:</w:t>
      </w:r>
    </w:p>
    <w:p>
      <w:pPr>
        <w:spacing w:after="0" w:line="1" w:lineRule="exact"/>
        <w:rPr>
          <w:sz w:val="20"/>
          <w:szCs w:val="20"/>
          <w:color w:val="auto"/>
        </w:rPr>
      </w:pPr>
    </w:p>
    <w:p>
      <w:pPr>
        <w:ind w:left="1600" w:hanging="312"/>
        <w:spacing w:after="0"/>
        <w:tabs>
          <w:tab w:leader="none" w:pos="160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waive any condition set forth in </w:t>
      </w:r>
      <w:r>
        <w:rPr>
          <w:rFonts w:ascii="Times New Roman" w:cs="Times New Roman" w:eastAsia="Times New Roman" w:hAnsi="Times New Roman"/>
          <w:sz w:val="14"/>
          <w:szCs w:val="14"/>
          <w:b w:val="1"/>
          <w:bCs w:val="1"/>
          <w:i w:val="1"/>
          <w:iCs w:val="1"/>
          <w:color w:val="auto"/>
        </w:rPr>
        <w:t>Section 4.1</w:t>
      </w:r>
      <w:r>
        <w:rPr>
          <w:rFonts w:ascii="Times New Roman" w:cs="Times New Roman" w:eastAsia="Times New Roman" w:hAnsi="Times New Roman"/>
          <w:sz w:val="14"/>
          <w:szCs w:val="14"/>
          <w:color w:val="auto"/>
        </w:rPr>
        <w:t>, without the written consent of each Lender;</w:t>
      </w:r>
    </w:p>
    <w:p>
      <w:pPr>
        <w:spacing w:after="0" w:line="37" w:lineRule="exact"/>
        <w:rPr>
          <w:rFonts w:ascii="Times New Roman" w:cs="Times New Roman" w:eastAsia="Times New Roman" w:hAnsi="Times New Roman"/>
          <w:sz w:val="14"/>
          <w:szCs w:val="14"/>
          <w:color w:val="auto"/>
        </w:rPr>
      </w:pPr>
    </w:p>
    <w:p>
      <w:pPr>
        <w:ind w:left="1600" w:hanging="312"/>
        <w:spacing w:after="0"/>
        <w:tabs>
          <w:tab w:leader="none" w:pos="160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extend or increase any Commitment of any Lender (or reinstate any Commitment terminated pursuant to </w:t>
      </w:r>
      <w:r>
        <w:rPr>
          <w:rFonts w:ascii="Times New Roman" w:cs="Times New Roman" w:eastAsia="Times New Roman" w:hAnsi="Times New Roman"/>
          <w:sz w:val="14"/>
          <w:szCs w:val="14"/>
          <w:b w:val="1"/>
          <w:bCs w:val="1"/>
          <w:i w:val="1"/>
          <w:iCs w:val="1"/>
          <w:color w:val="auto"/>
        </w:rPr>
        <w:t>Section 9.2</w:t>
      </w:r>
      <w:r>
        <w:rPr>
          <w:rFonts w:ascii="Times New Roman" w:cs="Times New Roman" w:eastAsia="Times New Roman" w:hAnsi="Times New Roman"/>
          <w:sz w:val="14"/>
          <w:szCs w:val="14"/>
          <w:color w:val="auto"/>
        </w:rPr>
        <w:t>) without the written consent of such Lender;</w:t>
      </w:r>
    </w:p>
    <w:p>
      <w:pPr>
        <w:spacing w:after="0" w:line="41" w:lineRule="exact"/>
        <w:rPr>
          <w:rFonts w:ascii="Times New Roman" w:cs="Times New Roman" w:eastAsia="Times New Roman" w:hAnsi="Times New Roman"/>
          <w:sz w:val="14"/>
          <w:szCs w:val="14"/>
          <w:color w:val="auto"/>
        </w:rPr>
      </w:pPr>
    </w:p>
    <w:p>
      <w:pPr>
        <w:ind w:left="860" w:firstLine="428"/>
        <w:spacing w:after="0" w:line="268" w:lineRule="auto"/>
        <w:tabs>
          <w:tab w:leader="none" w:pos="1669"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postpone any date fixed by this Agreement or any other Loan Document for any payment (excluding mandatory prepayment) of principal, interest, fees or other amounts due to Lenders (or any of them) hereunder or under any other Loan Document without the written consent of each Lender directly affected thereby;</w:t>
      </w:r>
    </w:p>
    <w:p>
      <w:pPr>
        <w:jc w:val="both"/>
        <w:ind w:left="860" w:firstLine="428"/>
        <w:spacing w:after="0" w:line="250" w:lineRule="auto"/>
        <w:tabs>
          <w:tab w:leader="none" w:pos="1607"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reduce the principal of, or the rate of interest specified herein on, any Loan, or any fees or other amounts payable hereunder or under any other Loan Document without the written consent of each Lender directly affected thereby; provided, however, that (i) any amendment or modification of the financial covenants in this Agreement (or any defined term used therein) shall not constitute a reduction in the rate of interest or fees for purposes of this </w:t>
      </w:r>
      <w:r>
        <w:rPr>
          <w:rFonts w:ascii="Times New Roman" w:cs="Times New Roman" w:eastAsia="Times New Roman" w:hAnsi="Times New Roman"/>
          <w:sz w:val="14"/>
          <w:szCs w:val="14"/>
          <w:b w:val="1"/>
          <w:bCs w:val="1"/>
          <w:i w:val="1"/>
          <w:iCs w:val="1"/>
          <w:color w:val="auto"/>
        </w:rPr>
        <w:t>clause (d)</w:t>
      </w:r>
      <w:r>
        <w:rPr>
          <w:rFonts w:ascii="Times New Roman" w:cs="Times New Roman" w:eastAsia="Times New Roman" w:hAnsi="Times New Roman"/>
          <w:sz w:val="14"/>
          <w:szCs w:val="14"/>
          <w:color w:val="auto"/>
        </w:rPr>
        <w:t xml:space="preserve"> and (ii) only the consent of Required Lenders shall be necessary to adjust the Default Interest Rate or to waive any obligation of Borrowers to pay interest at such rate;</w:t>
      </w:r>
    </w:p>
    <w:p>
      <w:pPr>
        <w:jc w:val="both"/>
        <w:ind w:left="860" w:firstLine="428"/>
        <w:spacing w:after="0" w:line="259" w:lineRule="auto"/>
        <w:tabs>
          <w:tab w:leader="none" w:pos="1664"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change any provision of this </w:t>
      </w:r>
      <w:r>
        <w:rPr>
          <w:rFonts w:ascii="Times New Roman" w:cs="Times New Roman" w:eastAsia="Times New Roman" w:hAnsi="Times New Roman"/>
          <w:sz w:val="14"/>
          <w:szCs w:val="14"/>
          <w:b w:val="1"/>
          <w:bCs w:val="1"/>
          <w:i w:val="1"/>
          <w:iCs w:val="1"/>
          <w:color w:val="auto"/>
        </w:rPr>
        <w:t>Section 11.10</w:t>
      </w:r>
      <w:r>
        <w:rPr>
          <w:rFonts w:ascii="Times New Roman" w:cs="Times New Roman" w:eastAsia="Times New Roman" w:hAnsi="Times New Roman"/>
          <w:sz w:val="14"/>
          <w:szCs w:val="14"/>
          <w:color w:val="auto"/>
        </w:rPr>
        <w:t xml:space="preserve"> or the definitions of “</w:t>
      </w:r>
      <w:r>
        <w:rPr>
          <w:rFonts w:ascii="Times New Roman" w:cs="Times New Roman" w:eastAsia="Times New Roman" w:hAnsi="Times New Roman"/>
          <w:sz w:val="14"/>
          <w:szCs w:val="14"/>
          <w:i w:val="1"/>
          <w:iCs w:val="1"/>
          <w:color w:val="auto"/>
        </w:rPr>
        <w:t>Applicable Percentage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Required Lenders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Required Supermajority Lenders</w:t>
      </w:r>
      <w:r>
        <w:rPr>
          <w:rFonts w:ascii="Times New Roman" w:cs="Times New Roman" w:eastAsia="Times New Roman" w:hAnsi="Times New Roman"/>
          <w:sz w:val="14"/>
          <w:szCs w:val="14"/>
          <w:color w:val="auto"/>
        </w:rPr>
        <w:t>” or any other provision hereof specifying the number or percentage of Lenders required to amend, waive or otherwise modify any rights hereunder or make any determination or grant any consent hereunder, without the written consent of each Lender;</w:t>
      </w:r>
    </w:p>
    <w:p>
      <w:pPr>
        <w:ind w:left="1580" w:hanging="292"/>
        <w:spacing w:after="0"/>
        <w:tabs>
          <w:tab w:leader="none" w:pos="158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change </w:t>
      </w:r>
      <w:r>
        <w:rPr>
          <w:rFonts w:ascii="Times New Roman" w:cs="Times New Roman" w:eastAsia="Times New Roman" w:hAnsi="Times New Roman"/>
          <w:sz w:val="14"/>
          <w:szCs w:val="14"/>
          <w:b w:val="1"/>
          <w:bCs w:val="1"/>
          <w:i w:val="1"/>
          <w:iCs w:val="1"/>
          <w:color w:val="auto"/>
        </w:rPr>
        <w:t>Section 9.3</w:t>
      </w:r>
      <w:r>
        <w:rPr>
          <w:rFonts w:ascii="Times New Roman" w:cs="Times New Roman" w:eastAsia="Times New Roman" w:hAnsi="Times New Roman"/>
          <w:sz w:val="14"/>
          <w:szCs w:val="14"/>
          <w:color w:val="auto"/>
        </w:rPr>
        <w:t xml:space="preserve"> in a manner that would alter the order or the pro rata sharing of payments required thereby without the written consent of each Lender;</w:t>
      </w:r>
    </w:p>
    <w:p>
      <w:pPr>
        <w:spacing w:after="0" w:line="41" w:lineRule="exact"/>
        <w:rPr>
          <w:rFonts w:ascii="Times New Roman" w:cs="Times New Roman" w:eastAsia="Times New Roman" w:hAnsi="Times New Roman"/>
          <w:sz w:val="14"/>
          <w:szCs w:val="14"/>
          <w:color w:val="auto"/>
        </w:rPr>
      </w:pPr>
    </w:p>
    <w:p>
      <w:pPr>
        <w:ind w:left="1600" w:hanging="312"/>
        <w:spacing w:after="0"/>
        <w:tabs>
          <w:tab w:leader="none" w:pos="160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any Guaranty or all or substantially all of the Collateral (in each case, except as provided herein) without the written consent of each Lender;</w:t>
      </w:r>
    </w:p>
    <w:p>
      <w:pPr>
        <w:spacing w:after="0" w:line="37" w:lineRule="exact"/>
        <w:rPr>
          <w:rFonts w:ascii="Times New Roman" w:cs="Times New Roman" w:eastAsia="Times New Roman" w:hAnsi="Times New Roman"/>
          <w:sz w:val="14"/>
          <w:szCs w:val="14"/>
          <w:color w:val="auto"/>
        </w:rPr>
      </w:pPr>
    </w:p>
    <w:p>
      <w:pPr>
        <w:ind w:left="860" w:firstLine="428"/>
        <w:spacing w:after="0" w:line="282" w:lineRule="auto"/>
        <w:tabs>
          <w:tab w:leader="none" w:pos="162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subordinate any of the Obligations in right of payment to any other Debt or otherwise adversely affect the priority of payment of the Obligations or (ii) subordinate the Lien securing any of the Obligations to any other Lien securing any other Debt (except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ectPr>
          <w:pgSz w:w="11900" w:h="16838" w:orient="portrait"/>
          <w:cols w:equalWidth="0" w:num="1">
            <w:col w:w="11300"/>
          </w:cols>
          <w:pgMar w:left="300" w:top="287" w:right="29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 xml:space="preserve">with respect to Liens permitted pursuant to </w:t>
      </w:r>
      <w:r>
        <w:rPr>
          <w:rFonts w:ascii="Times New Roman" w:cs="Times New Roman" w:eastAsia="Times New Roman" w:hAnsi="Times New Roman"/>
          <w:sz w:val="14"/>
          <w:szCs w:val="14"/>
          <w:b w:val="1"/>
          <w:bCs w:val="1"/>
          <w:i w:val="1"/>
          <w:iCs w:val="1"/>
          <w:color w:val="auto"/>
        </w:rPr>
        <w:t>Section 7.2(j)</w:t>
      </w:r>
      <w:r>
        <w:rPr>
          <w:rFonts w:ascii="Times New Roman" w:cs="Times New Roman" w:eastAsia="Times New Roman" w:hAnsi="Times New Roman"/>
          <w:sz w:val="14"/>
          <w:szCs w:val="14"/>
          <w:color w:val="auto"/>
        </w:rPr>
        <w:t xml:space="preserve"> as provided in </w:t>
      </w:r>
      <w:r>
        <w:rPr>
          <w:rFonts w:ascii="Times New Roman" w:cs="Times New Roman" w:eastAsia="Times New Roman" w:hAnsi="Times New Roman"/>
          <w:sz w:val="14"/>
          <w:szCs w:val="14"/>
          <w:b w:val="1"/>
          <w:bCs w:val="1"/>
          <w:i w:val="1"/>
          <w:iCs w:val="1"/>
          <w:color w:val="auto"/>
        </w:rPr>
        <w:t>Section 10.9</w:t>
      </w:r>
      <w:r>
        <w:rPr>
          <w:rFonts w:ascii="Times New Roman" w:cs="Times New Roman" w:eastAsia="Times New Roman" w:hAnsi="Times New Roman"/>
          <w:sz w:val="14"/>
          <w:szCs w:val="14"/>
          <w:color w:val="auto"/>
        </w:rPr>
        <w:t>), in each case, without the written consent of each Lender affected thereby;</w:t>
      </w:r>
    </w:p>
    <w:p>
      <w:pPr>
        <w:spacing w:after="0" w:line="41" w:lineRule="exact"/>
        <w:rPr>
          <w:sz w:val="20"/>
          <w:szCs w:val="20"/>
          <w:color w:val="auto"/>
        </w:rPr>
      </w:pPr>
    </w:p>
    <w:p>
      <w:pPr>
        <w:jc w:val="both"/>
        <w:ind w:left="860" w:firstLine="428"/>
        <w:spacing w:after="0" w:line="257" w:lineRule="auto"/>
        <w:tabs>
          <w:tab w:leader="none" w:pos="161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increase the advance rates set forth in the definition of Borrowing Base or add new categories of eligible assets to the calculation of the Borrowing Base, in each case, without the written consent of each Lender or (ii) change the definition of “</w:t>
      </w:r>
      <w:r>
        <w:rPr>
          <w:rFonts w:ascii="Times New Roman" w:cs="Times New Roman" w:eastAsia="Times New Roman" w:hAnsi="Times New Roman"/>
          <w:sz w:val="14"/>
          <w:szCs w:val="14"/>
          <w:i w:val="1"/>
          <w:iCs w:val="1"/>
          <w:color w:val="auto"/>
        </w:rPr>
        <w:t>Borrowing Base</w:t>
      </w:r>
      <w:r>
        <w:rPr>
          <w:rFonts w:ascii="Times New Roman" w:cs="Times New Roman" w:eastAsia="Times New Roman" w:hAnsi="Times New Roman"/>
          <w:sz w:val="14"/>
          <w:szCs w:val="14"/>
          <w:color w:val="auto"/>
        </w:rPr>
        <w:t>” or any component definition thereof, if as a result thereof the Borrowing Base would be increased thereby, without the written consent of the Required Supermajority Lenders; or</w:t>
      </w:r>
    </w:p>
    <w:p>
      <w:pPr>
        <w:jc w:val="both"/>
        <w:ind w:left="860" w:firstLine="428"/>
        <w:spacing w:after="0" w:line="252" w:lineRule="auto"/>
        <w:tabs>
          <w:tab w:leader="none" w:pos="1576"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change any provision of </w:t>
      </w:r>
      <w:r>
        <w:rPr>
          <w:rFonts w:ascii="Times New Roman" w:cs="Times New Roman" w:eastAsia="Times New Roman" w:hAnsi="Times New Roman"/>
          <w:sz w:val="14"/>
          <w:szCs w:val="14"/>
          <w:b w:val="1"/>
          <w:bCs w:val="1"/>
          <w:i w:val="1"/>
          <w:iCs w:val="1"/>
          <w:color w:val="auto"/>
        </w:rPr>
        <w:t>Article 8</w:t>
      </w:r>
      <w:r>
        <w:rPr>
          <w:rFonts w:ascii="Times New Roman" w:cs="Times New Roman" w:eastAsia="Times New Roman" w:hAnsi="Times New Roman"/>
          <w:sz w:val="14"/>
          <w:szCs w:val="14"/>
          <w:color w:val="auto"/>
        </w:rPr>
        <w:t xml:space="preserve"> or the definitions of “</w:t>
      </w:r>
      <w:r>
        <w:rPr>
          <w:rFonts w:ascii="Times New Roman" w:cs="Times New Roman" w:eastAsia="Times New Roman" w:hAnsi="Times New Roman"/>
          <w:sz w:val="14"/>
          <w:szCs w:val="14"/>
          <w:i w:val="1"/>
          <w:iCs w:val="1"/>
          <w:color w:val="auto"/>
        </w:rPr>
        <w:t>Leverage Ratio</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Fixed Charge Coverage Ratio</w:t>
      </w:r>
      <w:r>
        <w:rPr>
          <w:rFonts w:ascii="Times New Roman" w:cs="Times New Roman" w:eastAsia="Times New Roman" w:hAnsi="Times New Roman"/>
          <w:sz w:val="14"/>
          <w:szCs w:val="14"/>
          <w:color w:val="auto"/>
        </w:rPr>
        <w:t xml:space="preserve">” or any component definition thereof in a manner adverse to the Lenders, (ii) waive compliance with any provision of </w:t>
      </w:r>
      <w:r>
        <w:rPr>
          <w:rFonts w:ascii="Times New Roman" w:cs="Times New Roman" w:eastAsia="Times New Roman" w:hAnsi="Times New Roman"/>
          <w:sz w:val="14"/>
          <w:szCs w:val="14"/>
          <w:b w:val="1"/>
          <w:bCs w:val="1"/>
          <w:i w:val="1"/>
          <w:iCs w:val="1"/>
          <w:color w:val="auto"/>
        </w:rPr>
        <w:t>Article 8</w:t>
      </w:r>
      <w:r>
        <w:rPr>
          <w:rFonts w:ascii="Times New Roman" w:cs="Times New Roman" w:eastAsia="Times New Roman" w:hAnsi="Times New Roman"/>
          <w:sz w:val="14"/>
          <w:szCs w:val="14"/>
          <w:color w:val="auto"/>
        </w:rPr>
        <w:t xml:space="preserve"> or otherwise extend the applicable test date thereof, (iii) change the definitions of “</w:t>
      </w:r>
      <w:r>
        <w:rPr>
          <w:rFonts w:ascii="Times New Roman" w:cs="Times New Roman" w:eastAsia="Times New Roman" w:hAnsi="Times New Roman"/>
          <w:sz w:val="14"/>
          <w:szCs w:val="14"/>
          <w:i w:val="1"/>
          <w:iCs w:val="1"/>
          <w:color w:val="auto"/>
        </w:rPr>
        <w:t>Trigger Period</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Specified Reporting Period</w:t>
      </w:r>
      <w:r>
        <w:rPr>
          <w:rFonts w:ascii="Times New Roman" w:cs="Times New Roman" w:eastAsia="Times New Roman" w:hAnsi="Times New Roman"/>
          <w:sz w:val="14"/>
          <w:szCs w:val="14"/>
          <w:color w:val="auto"/>
        </w:rPr>
        <w:t xml:space="preserve">” or any component definition thereof in a manner adverse to the Lenders or (iv) change the Availability thresholds set forth in </w:t>
      </w:r>
      <w:r>
        <w:rPr>
          <w:rFonts w:ascii="Times New Roman" w:cs="Times New Roman" w:eastAsia="Times New Roman" w:hAnsi="Times New Roman"/>
          <w:sz w:val="14"/>
          <w:szCs w:val="14"/>
          <w:b w:val="1"/>
          <w:bCs w:val="1"/>
          <w:i w:val="1"/>
          <w:iCs w:val="1"/>
          <w:color w:val="auto"/>
        </w:rPr>
        <w:t>Section 6.6(b)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 xml:space="preserve">Section 6.6(c)(ii) </w:t>
      </w:r>
      <w:r>
        <w:rPr>
          <w:rFonts w:ascii="Times New Roman" w:cs="Times New Roman" w:eastAsia="Times New Roman" w:hAnsi="Times New Roman"/>
          <w:sz w:val="14"/>
          <w:szCs w:val="14"/>
          <w:color w:val="auto"/>
        </w:rPr>
        <w:t>in a manner adverse to the Lenders, in each case, without the written consent of the Required Supermajority Lenders.</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 xml:space="preserve">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Administrative Agent in addition to Lenders required above, affect the rights or duties of Administrative Agent under this Agreement or any other Loan Document; (iv) the Fee Letter may be amended, or rights or privileges thereunder waived, in a writing executed only by the parties thereto; and (v) Borrowers and Administrative Agent may amend this Agreement or any other Loan Document without the consent of Lenders (unless the Required Lenders object in writing within five (5) Business Days of notice by Administrative Agent of such amendment) in order to (A) correct, amend or cure any ambiguity, inconsistency or defect or correct any typographical error or other manifest error in any Loan Document or (B) comply with local Law or advice of local counsel in any jurisdiction the Laws of which govern any Security Document or that are relevant to the creation, perfection, protection and/or priority of any Lien in favor of Administrative Agent, (C) effect the granting, perfection, protection, expansion or enhancement of any security interest in any Collateral or additional property to become Collateral for the benefit of the Secured Parties, (D) make administrative or operational changes not adverse to any Lender or (E) add a Guarantor or Collateral or otherwise enhance the rights and benefits of the Lenders</w:t>
      </w:r>
      <w:r>
        <w:rPr>
          <w:rFonts w:ascii="Times New Roman" w:cs="Times New Roman" w:eastAsia="Times New Roman" w:hAnsi="Times New Roman"/>
          <w:sz w:val="14"/>
          <w:szCs w:val="14"/>
          <w:b w:val="1"/>
          <w:bCs w:val="1"/>
          <w:color w:val="auto"/>
        </w:rPr>
        <w:t>.</w:t>
      </w:r>
    </w:p>
    <w:p>
      <w:pPr>
        <w:spacing w:after="0" w:line="12"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4"/>
          <w:szCs w:val="14"/>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Commitment(s) of any Defaulting Lender may not be increased or extended (and the maturity of any of its Loans may not be extended, the rate of interest on any of its Loans may not be reduced and the principal amount of any of its Loans may not be forgiven), in each case without the consent of such Defaulting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68" w:lineRule="exact"/>
        <w:rPr>
          <w:sz w:val="20"/>
          <w:szCs w:val="20"/>
          <w:color w:val="auto"/>
        </w:rPr>
      </w:pPr>
    </w:p>
    <w:p>
      <w:pPr>
        <w:ind w:left="420"/>
        <w:spacing w:after="0"/>
        <w:tabs>
          <w:tab w:leader="none" w:pos="1320" w:val="left"/>
        </w:tabs>
        <w:rPr>
          <w:sz w:val="20"/>
          <w:szCs w:val="20"/>
          <w:color w:val="auto"/>
        </w:rPr>
      </w:pPr>
      <w:r>
        <w:rPr>
          <w:rFonts w:ascii="Times New Roman" w:cs="Times New Roman" w:eastAsia="Times New Roman" w:hAnsi="Times New Roman"/>
          <w:sz w:val="14"/>
          <w:szCs w:val="14"/>
          <w:color w:val="auto"/>
        </w:rPr>
        <w:t>Section 11.11</w:t>
      </w:r>
      <w:r>
        <w:rPr>
          <w:sz w:val="20"/>
          <w:szCs w:val="20"/>
          <w:color w:val="auto"/>
        </w:rPr>
        <w:tab/>
      </w:r>
      <w:r>
        <w:rPr>
          <w:rFonts w:ascii="Times New Roman" w:cs="Times New Roman" w:eastAsia="Times New Roman" w:hAnsi="Times New Roman"/>
          <w:sz w:val="14"/>
          <w:szCs w:val="14"/>
          <w:b w:val="1"/>
          <w:bCs w:val="1"/>
          <w:u w:val="single" w:color="auto"/>
          <w:color w:val="auto"/>
        </w:rPr>
        <w:t>Notices</w:t>
      </w:r>
      <w:r>
        <w:rPr>
          <w:rFonts w:ascii="Times New Roman" w:cs="Times New Roman" w:eastAsia="Times New Roman" w:hAnsi="Times New Roman"/>
          <w:sz w:val="14"/>
          <w:szCs w:val="14"/>
          <w:color w:val="auto"/>
        </w:rPr>
        <w:t>.</w:t>
      </w:r>
    </w:p>
    <w:p>
      <w:pPr>
        <w:spacing w:after="0" w:line="35" w:lineRule="exact"/>
        <w:rPr>
          <w:sz w:val="20"/>
          <w:szCs w:val="20"/>
          <w:color w:val="auto"/>
        </w:rPr>
      </w:pPr>
    </w:p>
    <w:p>
      <w:pPr>
        <w:jc w:val="both"/>
        <w:ind w:left="420" w:firstLine="436"/>
        <w:spacing w:after="0" w:line="258" w:lineRule="auto"/>
        <w:tabs>
          <w:tab w:leader="none" w:pos="1207" w:val="left"/>
        </w:tabs>
        <w:numPr>
          <w:ilvl w:val="0"/>
          <w:numId w:val="2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Notices Generally</w:t>
      </w:r>
      <w:r>
        <w:rPr>
          <w:rFonts w:ascii="Times New Roman" w:cs="Times New Roman" w:eastAsia="Times New Roman" w:hAnsi="Times New Roman"/>
          <w:sz w:val="14"/>
          <w:szCs w:val="14"/>
          <w:color w:val="auto"/>
        </w:rPr>
        <w:t>. Except in the case of notices and other communications expressly permitted to be given by telephone (and except as provided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11.11(b)</w:t>
      </w:r>
      <w:r>
        <w:rPr>
          <w:rFonts w:ascii="Times New Roman" w:cs="Times New Roman" w:eastAsia="Times New Roman" w:hAnsi="Times New Roman"/>
          <w:sz w:val="14"/>
          <w:szCs w:val="14"/>
          <w:color w:val="auto"/>
        </w:rPr>
        <w:t>),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notices and other communications provided for herein shall be in writing and shall be delivered by hand or overnight courier service, mailed by certified or registered mail or sent by facsimile or, solely in the case of notices and other communications to the Loan Parties, by e-mail, in each case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ectPr>
          <w:pgSz w:w="11900" w:h="16838" w:orient="portrait"/>
          <w:cols w:equalWidth="0" w:num="1">
            <w:col w:w="11300"/>
          </w:cols>
          <w:pgMar w:left="300" w:top="287" w:right="29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 xml:space="preserve">as set forth on </w:t>
      </w:r>
      <w:r>
        <w:rPr>
          <w:rFonts w:ascii="Times New Roman" w:cs="Times New Roman" w:eastAsia="Times New Roman" w:hAnsi="Times New Roman"/>
          <w:sz w:val="14"/>
          <w:szCs w:val="14"/>
          <w:b w:val="1"/>
          <w:bCs w:val="1"/>
          <w:i w:val="1"/>
          <w:iCs w:val="1"/>
          <w:color w:val="auto"/>
        </w:rPr>
        <w:t>Schedule 11.11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any notice or communication sent by facsimile to a Loan Party shall also be delivered in writing via a separate method provided in this </w:t>
      </w:r>
      <w:r>
        <w:rPr>
          <w:rFonts w:ascii="Times New Roman" w:cs="Times New Roman" w:eastAsia="Times New Roman" w:hAnsi="Times New Roman"/>
          <w:sz w:val="14"/>
          <w:szCs w:val="14"/>
          <w:b w:val="1"/>
          <w:bCs w:val="1"/>
          <w:i w:val="1"/>
          <w:iCs w:val="1"/>
          <w:color w:val="auto"/>
        </w:rPr>
        <w:t>Section 11.11(a)</w:t>
      </w:r>
      <w:r>
        <w:rPr>
          <w:rFonts w:ascii="Times New Roman" w:cs="Times New Roman" w:eastAsia="Times New Roman" w:hAnsi="Times New Roman"/>
          <w:sz w:val="14"/>
          <w:szCs w:val="14"/>
          <w:color w:val="auto"/>
        </w:rPr>
        <w:t xml:space="preserve">). 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 w:cs="Times New Roman" w:eastAsia="Times New Roman" w:hAnsi="Times New Roman"/>
          <w:sz w:val="14"/>
          <w:szCs w:val="14"/>
          <w:b w:val="1"/>
          <w:bCs w:val="1"/>
          <w:i w:val="1"/>
          <w:iCs w:val="1"/>
          <w:color w:val="auto"/>
        </w:rPr>
        <w:t>Section 11.11(b)</w:t>
      </w:r>
      <w:r>
        <w:rPr>
          <w:rFonts w:ascii="Times New Roman" w:cs="Times New Roman" w:eastAsia="Times New Roman" w:hAnsi="Times New Roman"/>
          <w:sz w:val="14"/>
          <w:szCs w:val="14"/>
          <w:color w:val="auto"/>
        </w:rPr>
        <w:t xml:space="preserve"> shall be effective as provided in </w:t>
      </w:r>
      <w:r>
        <w:rPr>
          <w:rFonts w:ascii="Times New Roman" w:cs="Times New Roman" w:eastAsia="Times New Roman" w:hAnsi="Times New Roman"/>
          <w:sz w:val="14"/>
          <w:szCs w:val="14"/>
          <w:b w:val="1"/>
          <w:bCs w:val="1"/>
          <w:i w:val="1"/>
          <w:iCs w:val="1"/>
          <w:color w:val="auto"/>
        </w:rPr>
        <w:t>Section 11.11(b)</w:t>
      </w:r>
      <w:r>
        <w:rPr>
          <w:rFonts w:ascii="Times New Roman" w:cs="Times New Roman" w:eastAsia="Times New Roman" w:hAnsi="Times New Roman"/>
          <w:sz w:val="14"/>
          <w:szCs w:val="14"/>
          <w:color w:val="auto"/>
        </w:rPr>
        <w:t>.</w:t>
      </w:r>
    </w:p>
    <w:p>
      <w:pPr>
        <w:spacing w:after="0" w:line="166" w:lineRule="exact"/>
        <w:rPr>
          <w:sz w:val="20"/>
          <w:szCs w:val="20"/>
          <w:color w:val="auto"/>
        </w:rPr>
      </w:pPr>
    </w:p>
    <w:p>
      <w:pPr>
        <w:jc w:val="both"/>
        <w:ind w:firstLine="436"/>
        <w:spacing w:after="0" w:line="249" w:lineRule="auto"/>
        <w:tabs>
          <w:tab w:leader="none" w:pos="759" w:val="left"/>
        </w:tabs>
        <w:numPr>
          <w:ilvl w:val="0"/>
          <w:numId w:val="2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Electronic Communications</w:t>
      </w:r>
      <w:r>
        <w:rPr>
          <w:rFonts w:ascii="Times New Roman" w:cs="Times New Roman" w:eastAsia="Times New Roman" w:hAnsi="Times New Roman"/>
          <w:sz w:val="14"/>
          <w:szCs w:val="14"/>
          <w:color w:val="auto"/>
        </w:rPr>
        <w:t>. Notices and other communications to Lenders and hereunder may be delivered or furnished by electronic communication (including e-mail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internet or intranet websites) pursuant to procedures approved by Administrative Agent,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foregoing shall not apply to notices to any Lender pursuant to </w:t>
      </w:r>
      <w:r>
        <w:rPr>
          <w:rFonts w:ascii="Times New Roman" w:cs="Times New Roman" w:eastAsia="Times New Roman" w:hAnsi="Times New Roman"/>
          <w:sz w:val="14"/>
          <w:szCs w:val="14"/>
          <w:b w:val="1"/>
          <w:bCs w:val="1"/>
          <w:i w:val="1"/>
          <w:iCs w:val="1"/>
          <w:color w:val="auto"/>
        </w:rPr>
        <w:t>Article 2</w:t>
      </w:r>
      <w:r>
        <w:rPr>
          <w:rFonts w:ascii="Times New Roman" w:cs="Times New Roman" w:eastAsia="Times New Roman" w:hAnsi="Times New Roman"/>
          <w:sz w:val="14"/>
          <w:szCs w:val="14"/>
          <w:color w:val="auto"/>
        </w:rPr>
        <w:t xml:space="preserve"> if such Lender has notified Administrative Agent that it is incapable of receiving notices under </w:t>
      </w:r>
      <w:r>
        <w:rPr>
          <w:rFonts w:ascii="Times New Roman" w:cs="Times New Roman" w:eastAsia="Times New Roman" w:hAnsi="Times New Roman"/>
          <w:sz w:val="14"/>
          <w:szCs w:val="14"/>
          <w:b w:val="1"/>
          <w:bCs w:val="1"/>
          <w:i w:val="1"/>
          <w:iCs w:val="1"/>
          <w:color w:val="auto"/>
        </w:rPr>
        <w:t>Article 2</w:t>
      </w:r>
      <w:r>
        <w:rPr>
          <w:rFonts w:ascii="Times New Roman" w:cs="Times New Roman" w:eastAsia="Times New Roman" w:hAnsi="Times New Roman"/>
          <w:sz w:val="14"/>
          <w:szCs w:val="14"/>
          <w:color w:val="auto"/>
        </w:rPr>
        <w:t xml:space="preserve"> by electronic communication. Administrative Agent may, in its discretion, agree to accept notices and other communications to it hereunder by electronic communications pursuant to procedures approved by it;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approval of such procedures may be limited to particular notices or communications.</w:t>
      </w:r>
    </w:p>
    <w:p>
      <w:pPr>
        <w:spacing w:after="0" w:line="4"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 xml:space="preserve">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4"/>
          <w:szCs w:val="14"/>
          <w:b w:val="1"/>
          <w:bCs w:val="1"/>
          <w:i w:val="1"/>
          <w:iCs w:val="1"/>
          <w:color w:val="auto"/>
        </w:rPr>
        <w:t>clause (i)</w:t>
      </w:r>
      <w:r>
        <w:rPr>
          <w:rFonts w:ascii="Times New Roman" w:cs="Times New Roman" w:eastAsia="Times New Roman" w:hAnsi="Times New Roman"/>
          <w:sz w:val="14"/>
          <w:szCs w:val="14"/>
          <w:color w:val="auto"/>
        </w:rPr>
        <w:t>, of notification that such notice or communication is available and identifying the website address therefor;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that, for both</w:t>
      </w:r>
      <w:r>
        <w:rPr>
          <w:rFonts w:ascii="Times New Roman" w:cs="Times New Roman" w:eastAsia="Times New Roman" w:hAnsi="Times New Roman"/>
          <w:sz w:val="14"/>
          <w:szCs w:val="14"/>
          <w:b w:val="1"/>
          <w:bCs w:val="1"/>
          <w:i w:val="1"/>
          <w:iCs w:val="1"/>
          <w:color w:val="auto"/>
        </w:rPr>
        <w:t xml:space="preserve"> clauses (i)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b w:val="1"/>
          <w:bCs w:val="1"/>
          <w:i w:val="1"/>
          <w:iCs w:val="1"/>
          <w:color w:val="auto"/>
        </w:rPr>
        <w:t xml:space="preserve"> (ii) </w:t>
      </w:r>
      <w:r>
        <w:rPr>
          <w:rFonts w:ascii="Times New Roman" w:cs="Times New Roman" w:eastAsia="Times New Roman" w:hAnsi="Times New Roman"/>
          <w:sz w:val="14"/>
          <w:szCs w:val="14"/>
          <w:color w:val="auto"/>
        </w:rPr>
        <w:t>above, if such facsimile,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email or other electronic communication is not sent during the normal business hours of the recipient, such notice or communication shall be deemed to have been sent at the opening of business on the next business day for the recipient.</w:t>
      </w:r>
    </w:p>
    <w:p>
      <w:pPr>
        <w:spacing w:after="0" w:line="4" w:lineRule="exact"/>
        <w:rPr>
          <w:sz w:val="20"/>
          <w:szCs w:val="20"/>
          <w:color w:val="auto"/>
        </w:rPr>
      </w:pPr>
    </w:p>
    <w:p>
      <w:pPr>
        <w:jc w:val="both"/>
        <w:ind w:firstLine="436"/>
        <w:spacing w:after="0" w:line="254" w:lineRule="auto"/>
        <w:tabs>
          <w:tab w:leader="none" w:pos="751" w:val="left"/>
        </w:tabs>
        <w:numPr>
          <w:ilvl w:val="0"/>
          <w:numId w:val="2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 of Address, etc</w:t>
      </w:r>
      <w:r>
        <w:rPr>
          <w:rFonts w:ascii="Times New Roman" w:cs="Times New Roman" w:eastAsia="Times New Roman" w:hAnsi="Times New Roman"/>
          <w:sz w:val="14"/>
          <w:szCs w:val="14"/>
          <w:color w:val="auto"/>
        </w:rPr>
        <w:t>. Any party hereto may change its address, facsimile number or e-mail address for notices and other communications hereunder by notice to the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parties hereto, </w:t>
      </w:r>
      <w:r>
        <w:rPr>
          <w:rFonts w:ascii="Times New Roman" w:cs="Times New Roman" w:eastAsia="Times New Roman" w:hAnsi="Times New Roman"/>
          <w:sz w:val="14"/>
          <w:szCs w:val="14"/>
          <w:b w:val="1"/>
          <w:bCs w:val="1"/>
          <w:i w:val="1"/>
          <w:iCs w:val="1"/>
          <w:color w:val="auto"/>
        </w:rPr>
        <w:t>Schedule 11.11</w:t>
      </w:r>
      <w:r>
        <w:rPr>
          <w:rFonts w:ascii="Times New Roman" w:cs="Times New Roman" w:eastAsia="Times New Roman" w:hAnsi="Times New Roman"/>
          <w:sz w:val="14"/>
          <w:szCs w:val="14"/>
          <w:color w:val="auto"/>
        </w:rPr>
        <w:t xml:space="preserve"> shall be deemed to be amended by each such change, and Administrative Agent is authorized, in its discretion, from time to time to reflect each such change in an amended </w:t>
      </w:r>
      <w:r>
        <w:rPr>
          <w:rFonts w:ascii="Times New Roman" w:cs="Times New Roman" w:eastAsia="Times New Roman" w:hAnsi="Times New Roman"/>
          <w:sz w:val="14"/>
          <w:szCs w:val="14"/>
          <w:b w:val="1"/>
          <w:bCs w:val="1"/>
          <w:i w:val="1"/>
          <w:iCs w:val="1"/>
          <w:color w:val="auto"/>
        </w:rPr>
        <w:t>Schedule 11.11</w:t>
      </w:r>
      <w:r>
        <w:rPr>
          <w:rFonts w:ascii="Times New Roman" w:cs="Times New Roman" w:eastAsia="Times New Roman" w:hAnsi="Times New Roman"/>
          <w:sz w:val="14"/>
          <w:szCs w:val="14"/>
          <w:color w:val="auto"/>
        </w:rPr>
        <w:t xml:space="preserve"> provided by Administrative Agent to each party hereto.</w:t>
      </w:r>
    </w:p>
    <w:p>
      <w:pPr>
        <w:spacing w:after="0" w:line="1" w:lineRule="exact"/>
        <w:rPr>
          <w:rFonts w:ascii="Times New Roman" w:cs="Times New Roman" w:eastAsia="Times New Roman" w:hAnsi="Times New Roman"/>
          <w:sz w:val="14"/>
          <w:szCs w:val="14"/>
          <w:b w:val="1"/>
          <w:bCs w:val="1"/>
          <w:color w:val="auto"/>
        </w:rPr>
      </w:pPr>
    </w:p>
    <w:p>
      <w:pPr>
        <w:ind w:left="760" w:hanging="324"/>
        <w:spacing w:after="0"/>
        <w:tabs>
          <w:tab w:leader="none" w:pos="760" w:val="left"/>
        </w:tabs>
        <w:numPr>
          <w:ilvl w:val="0"/>
          <w:numId w:val="2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Platform</w:t>
      </w:r>
      <w:r>
        <w:rPr>
          <w:rFonts w:ascii="Times New Roman" w:cs="Times New Roman" w:eastAsia="Times New Roman" w:hAnsi="Times New Roman"/>
          <w:sz w:val="14"/>
          <w:szCs w:val="14"/>
          <w:color w:val="auto"/>
        </w:rPr>
        <w:t>.</w:t>
      </w:r>
    </w:p>
    <w:p>
      <w:pPr>
        <w:spacing w:after="0" w:line="39" w:lineRule="exact"/>
        <w:rPr>
          <w:rFonts w:ascii="Times New Roman" w:cs="Times New Roman" w:eastAsia="Times New Roman" w:hAnsi="Times New Roman"/>
          <w:sz w:val="14"/>
          <w:szCs w:val="14"/>
          <w:b w:val="1"/>
          <w:bCs w:val="1"/>
          <w:color w:val="auto"/>
        </w:rPr>
      </w:pPr>
    </w:p>
    <w:p>
      <w:pPr>
        <w:ind w:left="440" w:right="20" w:firstLine="428"/>
        <w:spacing w:after="0" w:line="268" w:lineRule="auto"/>
        <w:tabs>
          <w:tab w:leader="none" w:pos="1159"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Loan Party agrees that Administrative Agent may, but shall not be obligated to, make the Communications (as defined below) available to the Lenders, L/C Issuer or Swing Line Lender by posting the Communications on the Platform.</w:t>
      </w:r>
    </w:p>
    <w:p>
      <w:pPr>
        <w:jc w:val="both"/>
        <w:ind w:left="440" w:firstLine="428"/>
        <w:spacing w:after="0" w:line="246" w:lineRule="auto"/>
        <w:tabs>
          <w:tab w:leader="none" w:pos="1253"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Platform is provided “as is” and “as available.” The Agent Parties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Agent Parties have any liability to any Loan Party, any Lender or any other Person or entity for damages of any kind, including, without limitation, direct or indirect, special, incidental or consequential damages, losses or expenses (whether in tort, contract or otherwise) arising out of any Loan Party’s or Administrative Agent’s transmission of Communications through the Platform.</w:t>
      </w:r>
    </w:p>
    <w:p>
      <w:pPr>
        <w:spacing w:after="0" w:line="8" w:lineRule="exact"/>
        <w:rPr>
          <w:rFonts w:ascii="Times New Roman" w:cs="Times New Roman" w:eastAsia="Times New Roman" w:hAnsi="Times New Roman"/>
          <w:sz w:val="14"/>
          <w:szCs w:val="14"/>
          <w:color w:val="auto"/>
        </w:rPr>
      </w:pPr>
    </w:p>
    <w:p>
      <w:pPr>
        <w:ind w:left="440" w:right="20" w:firstLine="428"/>
        <w:spacing w:after="0" w:line="282" w:lineRule="auto"/>
        <w:tabs>
          <w:tab w:leader="none" w:pos="1280"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Loan Party (by its, his or her execution of a Loan Document) hereby authorizes Administrative Agent, each Lender, Swing Line Lender and their respective counsel and agents and Related Parties (each an “</w:t>
      </w:r>
      <w:r>
        <w:rPr>
          <w:rFonts w:ascii="Times New Roman" w:cs="Times New Roman" w:eastAsia="Times New Roman" w:hAnsi="Times New Roman"/>
          <w:sz w:val="14"/>
          <w:szCs w:val="14"/>
          <w:b w:val="1"/>
          <w:bCs w:val="1"/>
          <w:i w:val="1"/>
          <w:iCs w:val="1"/>
          <w:color w:val="auto"/>
        </w:rPr>
        <w:t>Authorized Party</w:t>
      </w:r>
      <w:r>
        <w:rPr>
          <w:rFonts w:ascii="Times New Roman" w:cs="Times New Roman" w:eastAsia="Times New Roman" w:hAnsi="Times New Roman"/>
          <w:sz w:val="14"/>
          <w:szCs w:val="14"/>
          <w:color w:val="auto"/>
        </w:rPr>
        <w:t>”) to communicate and</w:t>
      </w:r>
    </w:p>
    <w:p>
      <w:pPr>
        <w:spacing w:after="0" w:line="36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10880"/>
          </w:cols>
          <w:pgMar w:left="720" w:top="287" w:right="299" w:bottom="1440" w:gutter="0" w:footer="0" w:header="0"/>
        </w:sectPr>
      </w:pPr>
    </w:p>
    <w:bookmarkStart w:id="201" w:name="page202"/>
    <w:bookmarkEnd w:id="201"/>
    <w:p>
      <w:pPr>
        <w:ind w:left="1026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8" w:lineRule="exact"/>
        <w:rPr>
          <w:sz w:val="20"/>
          <w:szCs w:val="20"/>
          <w:color w:val="auto"/>
        </w:rPr>
      </w:pPr>
    </w:p>
    <w:p>
      <w:pPr>
        <w:jc w:val="both"/>
        <w:ind w:left="440"/>
        <w:spacing w:after="0" w:line="251" w:lineRule="auto"/>
        <w:rPr>
          <w:sz w:val="20"/>
          <w:szCs w:val="20"/>
          <w:color w:val="auto"/>
        </w:rPr>
      </w:pPr>
      <w:r>
        <w:rPr>
          <w:rFonts w:ascii="Times New Roman" w:cs="Times New Roman" w:eastAsia="Times New Roman" w:hAnsi="Times New Roman"/>
          <w:sz w:val="14"/>
          <w:szCs w:val="14"/>
          <w:color w:val="auto"/>
        </w:rPr>
        <w:t xml:space="preserve">transfer documents and other information (including confidential information) concerning this transaction or any Loan Party and the business affairs of such Loan Parties via the internet or other electronic communication method. In no event shall any Authorized Party have any liability to any Loan Party, any Lender or any other Person or entity for damages of any kind (whether in tort, contract or otherwise) arising out of any such communications or transmissions, except to the extent that such damages are determined by a court of competent jurisdiction in a final and nonappealable judgment to have directly resulted from the gross negligence or willful misconduct of such Authorized Party;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in no event shall any Authorized Party have any liability for indirect, special, incidental, consequential or punitive damages (as opposed to direct or actual damages).</w:t>
      </w:r>
    </w:p>
    <w:p>
      <w:pPr>
        <w:jc w:val="both"/>
        <w:ind w:firstLine="436"/>
        <w:spacing w:after="0" w:line="244" w:lineRule="auto"/>
        <w:tabs>
          <w:tab w:leader="none" w:pos="772" w:val="left"/>
        </w:tabs>
        <w:numPr>
          <w:ilvl w:val="1"/>
          <w:numId w:val="2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Public Information</w:t>
      </w:r>
      <w:r>
        <w:rPr>
          <w:rFonts w:ascii="Times New Roman" w:cs="Times New Roman" w:eastAsia="Times New Roman" w:hAnsi="Times New Roman"/>
          <w:sz w:val="14"/>
          <w:szCs w:val="14"/>
          <w:color w:val="auto"/>
        </w:rPr>
        <w:t>. Each Loan Party hereby acknowledges that certain of the Lenders (each, a “</w:t>
      </w:r>
      <w:r>
        <w:rPr>
          <w:rFonts w:ascii="Times New Roman" w:cs="Times New Roman" w:eastAsia="Times New Roman" w:hAnsi="Times New Roman"/>
          <w:sz w:val="14"/>
          <w:szCs w:val="14"/>
          <w:b w:val="1"/>
          <w:bCs w:val="1"/>
          <w:i w:val="1"/>
          <w:iCs w:val="1"/>
          <w:color w:val="auto"/>
        </w:rPr>
        <w:t>Public Lender</w:t>
      </w:r>
      <w:r>
        <w:rPr>
          <w:rFonts w:ascii="Times New Roman" w:cs="Times New Roman" w:eastAsia="Times New Roman" w:hAnsi="Times New Roman"/>
          <w:sz w:val="14"/>
          <w:szCs w:val="14"/>
          <w:color w:val="auto"/>
        </w:rPr>
        <w:t>”) may have personnel who do not wish to receive material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non-public information with respect to any Loan Party or its Affiliates, or the respective securities of any of the foregoing, and who may be engaged in investment and other market-related activities with respect to such securities. Each Loan Party hereby agrees that it will use commercially reasonable efforts to identify that portion of the materials and information provided by or on behalf of any Loan Party hereunder and under the other Loan Documents (collectively, “</w:t>
      </w:r>
      <w:r>
        <w:rPr>
          <w:rFonts w:ascii="Times New Roman" w:cs="Times New Roman" w:eastAsia="Times New Roman" w:hAnsi="Times New Roman"/>
          <w:sz w:val="14"/>
          <w:szCs w:val="14"/>
          <w:b w:val="1"/>
          <w:bCs w:val="1"/>
          <w:i w:val="1"/>
          <w:iCs w:val="1"/>
          <w:color w:val="auto"/>
        </w:rPr>
        <w:t>Borrower Materials</w:t>
      </w:r>
      <w:r>
        <w:rPr>
          <w:rFonts w:ascii="Times New Roman" w:cs="Times New Roman" w:eastAsia="Times New Roman" w:hAnsi="Times New Roman"/>
          <w:sz w:val="14"/>
          <w:szCs w:val="14"/>
          <w:color w:val="auto"/>
        </w:rPr>
        <w:t>”) that may be distributed to the Public Lenders and that (i) all such Borrower Materials shall be clearly and conspicuously marked “PUBLIC,” which, at a minimum, shall mean that the word “PUBLIC” shall appear prominently on the first page thereof;</w:t>
      </w:r>
    </w:p>
    <w:p>
      <w:pPr>
        <w:spacing w:after="0" w:line="2" w:lineRule="exact"/>
        <w:rPr>
          <w:rFonts w:ascii="Times New Roman" w:cs="Times New Roman" w:eastAsia="Times New Roman" w:hAnsi="Times New Roman"/>
          <w:sz w:val="14"/>
          <w:szCs w:val="14"/>
          <w:b w:val="1"/>
          <w:bCs w:val="1"/>
          <w:color w:val="auto"/>
        </w:rPr>
      </w:pPr>
    </w:p>
    <w:p>
      <w:pPr>
        <w:jc w:val="both"/>
        <w:ind w:firstLine="4"/>
        <w:spacing w:after="0" w:line="241" w:lineRule="auto"/>
        <w:tabs>
          <w:tab w:leader="none" w:pos="22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marking Borrower Materials “PUBLIC,” each Loan Party shall be deemed to have authorized Administrative Agent and the other Lenders to treat such Borrower Materials as not containing any material non-public information with respect to any Loan Party or its securities for purposes of U.S. federal and state securities Laws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to the extent that such Borrower Materials constitute Information, they shall be subject to </w:t>
      </w:r>
      <w:r>
        <w:rPr>
          <w:rFonts w:ascii="Times New Roman" w:cs="Times New Roman" w:eastAsia="Times New Roman" w:hAnsi="Times New Roman"/>
          <w:sz w:val="14"/>
          <w:szCs w:val="14"/>
          <w:b w:val="1"/>
          <w:bCs w:val="1"/>
          <w:i w:val="1"/>
          <w:iCs w:val="1"/>
          <w:color w:val="auto"/>
        </w:rPr>
        <w:t>Section 11.25</w:t>
      </w:r>
      <w:r>
        <w:rPr>
          <w:rFonts w:ascii="Times New Roman" w:cs="Times New Roman" w:eastAsia="Times New Roman" w:hAnsi="Times New Roman"/>
          <w:sz w:val="14"/>
          <w:szCs w:val="14"/>
          <w:color w:val="auto"/>
        </w:rPr>
        <w:t>); (iii) all Borrower Materials marked “PUBLIC” are permitted to be made available through a portion of the Platform designated “Public Side Information;” and (iv) Administrative Agent shall be entitled to treat any Borrower Materials that are not marked “PUBLIC” as being suitable only for posting on a portion of the Platform not designated “Public Side Information”. Each Public Lender will designate one or more representatives that shall be permitted to receive information that is not designated as being available for Public Lenders, in order to enable such Public Lender or its delegate, in accordance with such Public Lender’s compliance procedures and under applicable Law, including United States federal and state securities Laws, to make reference to Borrower Materials that are not made available through the “Public Side Information” portion of the Platform and that may contain material non-public information with respect to any Loan Party or its Subsidiaries and its securities for the purposes of United States federal or state securities Laws.</w:t>
      </w:r>
    </w:p>
    <w:p>
      <w:pPr>
        <w:spacing w:after="0" w:line="1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11.12  </w:t>
      </w:r>
      <w:r>
        <w:rPr>
          <w:rFonts w:ascii="Times New Roman" w:cs="Times New Roman" w:eastAsia="Times New Roman" w:hAnsi="Times New Roman"/>
          <w:sz w:val="14"/>
          <w:szCs w:val="14"/>
          <w:b w:val="1"/>
          <w:bCs w:val="1"/>
          <w:u w:val="single" w:color="auto"/>
          <w:color w:val="auto"/>
        </w:rPr>
        <w:t>Governing Law; Venue; Service of Process.</w:t>
      </w:r>
    </w:p>
    <w:p>
      <w:pPr>
        <w:spacing w:after="0" w:line="37" w:lineRule="exact"/>
        <w:rPr>
          <w:rFonts w:ascii="Times New Roman" w:cs="Times New Roman" w:eastAsia="Times New Roman" w:hAnsi="Times New Roman"/>
          <w:sz w:val="14"/>
          <w:szCs w:val="14"/>
          <w:color w:val="auto"/>
        </w:rPr>
      </w:pPr>
    </w:p>
    <w:p>
      <w:pPr>
        <w:jc w:val="both"/>
        <w:ind w:firstLine="436"/>
        <w:spacing w:after="0" w:line="254" w:lineRule="auto"/>
        <w:tabs>
          <w:tab w:leader="none" w:pos="744" w:val="left"/>
        </w:tabs>
        <w:numPr>
          <w:ilvl w:val="1"/>
          <w:numId w:val="2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Governing Law</w:t>
      </w:r>
      <w:r>
        <w:rPr>
          <w:rFonts w:ascii="Times New Roman" w:cs="Times New Roman" w:eastAsia="Times New Roman" w:hAnsi="Times New Roman"/>
          <w:sz w:val="14"/>
          <w:szCs w:val="14"/>
          <w:color w:val="auto"/>
        </w:rPr>
        <w:t>. This Agreement and the other Loan Documents and any claims, controversy, dispute or cause of action (whether in contract or tort or otherwise) based upon,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arising out of or relating to this Agreement or any other Loan Document (except, as to any other Loan Document, as expressly set forth therein) and the transactions contemplated hereby and thereby shall be governed by, and construed in accordance with, the Laws of the Texas (without reference to applicable rules of conflicts of Laws), except to the extent the Laws of any jurisdiction where Collateral is located require application of such Laws with respect to such Collateral.</w:t>
      </w:r>
    </w:p>
    <w:p>
      <w:pPr>
        <w:spacing w:after="0" w:line="2" w:lineRule="exact"/>
        <w:rPr>
          <w:rFonts w:ascii="Times New Roman" w:cs="Times New Roman" w:eastAsia="Times New Roman" w:hAnsi="Times New Roman"/>
          <w:sz w:val="14"/>
          <w:szCs w:val="14"/>
          <w:b w:val="1"/>
          <w:bCs w:val="1"/>
          <w:color w:val="auto"/>
        </w:rPr>
      </w:pPr>
    </w:p>
    <w:p>
      <w:pPr>
        <w:jc w:val="both"/>
        <w:ind w:firstLine="436"/>
        <w:spacing w:after="0" w:line="251" w:lineRule="auto"/>
        <w:tabs>
          <w:tab w:leader="none" w:pos="752" w:val="left"/>
        </w:tabs>
        <w:numPr>
          <w:ilvl w:val="1"/>
          <w:numId w:val="2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Jurisdiction</w:t>
      </w:r>
      <w:r>
        <w:rPr>
          <w:rFonts w:ascii="Times New Roman" w:cs="Times New Roman" w:eastAsia="Times New Roman" w:hAnsi="Times New Roman"/>
          <w:sz w:val="14"/>
          <w:szCs w:val="14"/>
          <w:color w:val="auto"/>
        </w:rPr>
        <w:t>. Each Loan Party irrevocably and unconditionally agrees that it will not commence any action, litigation or proceeding of any kind or description, whether in law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equity, whether in contract or in tort or otherwise, against Administrative Agent, any Lender, L/C Issuer, Swing Line Lender or any Related Party of the foregoing in any way relating to this Agreement or any other Loan Document or the transactions relating hereto or thereto, in any forum other than any U.S. federal or Texas state court sitting in Dallas County, and any appellate court from any thereof, and each of the parties hereto irrevocably and unconditionally submits to the</w:t>
      </w:r>
    </w:p>
    <w:p>
      <w:pPr>
        <w:spacing w:after="0" w:line="38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138</w:t>
      </w:r>
    </w:p>
    <w:p>
      <w:pPr>
        <w:sectPr>
          <w:pgSz w:w="11900" w:h="16838" w:orient="portrait"/>
          <w:cols w:equalWidth="0" w:num="1">
            <w:col w:w="10880"/>
          </w:cols>
          <w:pgMar w:left="720" w:top="287" w:right="29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420"/>
        <w:spacing w:after="0" w:line="251" w:lineRule="auto"/>
        <w:rPr>
          <w:sz w:val="20"/>
          <w:szCs w:val="20"/>
          <w:color w:val="auto"/>
        </w:rPr>
      </w:pPr>
      <w:r>
        <w:rPr>
          <w:rFonts w:ascii="Times New Roman" w:cs="Times New Roman" w:eastAsia="Times New Roman" w:hAnsi="Times New Roman"/>
          <w:sz w:val="14"/>
          <w:szCs w:val="14"/>
          <w:color w:val="auto"/>
        </w:rPr>
        <w:t>jurisdiction of such courts and agrees that all claims in respect of any such action, litigation or proceeding may be heard and determined in such Texas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Administrative Agent, any Lender, L/C Issuer or Swing Line Lender may otherwise have to bring any action or proceeding relating to this Agreement or any other Loan Document against any Borrower or any of the other Loan Parties or their Properties in the courts of any jurisdiction.</w:t>
      </w:r>
    </w:p>
    <w:p>
      <w:pPr>
        <w:spacing w:after="0" w:line="2" w:lineRule="exact"/>
        <w:rPr>
          <w:sz w:val="20"/>
          <w:szCs w:val="20"/>
          <w:color w:val="auto"/>
        </w:rPr>
      </w:pPr>
    </w:p>
    <w:p>
      <w:pPr>
        <w:jc w:val="both"/>
        <w:ind w:left="420" w:firstLine="436"/>
        <w:spacing w:after="0" w:line="253" w:lineRule="auto"/>
        <w:tabs>
          <w:tab w:leader="none" w:pos="1165" w:val="left"/>
        </w:tabs>
        <w:numPr>
          <w:ilvl w:val="0"/>
          <w:numId w:val="2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Waiver of Venue</w:t>
      </w:r>
      <w:r>
        <w:rPr>
          <w:rFonts w:ascii="Times New Roman" w:cs="Times New Roman" w:eastAsia="Times New Roman" w:hAnsi="Times New Roman"/>
          <w:sz w:val="14"/>
          <w:szCs w:val="14"/>
          <w:color w:val="auto"/>
        </w:rPr>
        <w:t>. Each Loan Party irrevocably and unconditionally waives, to the fullest extent permitted by applicable Law, any objection that it may now or hereafter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to the laying of venue of any action or proceeding arising out of or relating to this Agreement or any other Loan Document in any court referred to in </w:t>
      </w:r>
      <w:r>
        <w:rPr>
          <w:rFonts w:ascii="Times New Roman" w:cs="Times New Roman" w:eastAsia="Times New Roman" w:hAnsi="Times New Roman"/>
          <w:sz w:val="14"/>
          <w:szCs w:val="14"/>
          <w:b w:val="1"/>
          <w:bCs w:val="1"/>
          <w:i w:val="1"/>
          <w:iCs w:val="1"/>
          <w:color w:val="auto"/>
        </w:rPr>
        <w:t>paragraph (b)</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b w:val="1"/>
          <w:bCs w:val="1"/>
          <w:i w:val="1"/>
          <w:iCs w:val="1"/>
          <w:color w:val="auto"/>
        </w:rPr>
        <w:t>Section</w:t>
      </w:r>
      <w:r>
        <w:rPr>
          <w:rFonts w:ascii="Times New Roman" w:cs="Times New Roman" w:eastAsia="Times New Roman" w:hAnsi="Times New Roman"/>
          <w:sz w:val="14"/>
          <w:szCs w:val="14"/>
          <w:color w:val="auto"/>
        </w:rPr>
        <w:t>. Each of the parties hereto hereby irrevocably waives, to the fullest extent permitted by applicable Law, the defense of an inconvenient forum to the maintenance of such action or proceeding in any such court.</w:t>
      </w:r>
    </w:p>
    <w:p>
      <w:pPr>
        <w:spacing w:after="0" w:line="163" w:lineRule="exact"/>
        <w:rPr>
          <w:rFonts w:ascii="Times New Roman" w:cs="Times New Roman" w:eastAsia="Times New Roman" w:hAnsi="Times New Roman"/>
          <w:sz w:val="14"/>
          <w:szCs w:val="14"/>
          <w:b w:val="1"/>
          <w:bCs w:val="1"/>
          <w:color w:val="auto"/>
        </w:rPr>
      </w:pPr>
    </w:p>
    <w:p>
      <w:pPr>
        <w:ind w:left="420" w:firstLine="436"/>
        <w:spacing w:after="0" w:line="269" w:lineRule="auto"/>
        <w:tabs>
          <w:tab w:leader="none" w:pos="1202" w:val="left"/>
        </w:tabs>
        <w:numPr>
          <w:ilvl w:val="0"/>
          <w:numId w:val="2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Service of Process</w:t>
      </w:r>
      <w:r>
        <w:rPr>
          <w:rFonts w:ascii="Times New Roman" w:cs="Times New Roman" w:eastAsia="Times New Roman" w:hAnsi="Times New Roman"/>
          <w:sz w:val="14"/>
          <w:szCs w:val="14"/>
          <w:color w:val="auto"/>
        </w:rPr>
        <w:t>. Each party hereto irrevocably consents to service of process by the mailing thereof, in the manner provided for the mailing of notices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Section 11.11</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Nothing in this Agreement will affect the right of any party hereto to serve process in any other manner permitted by applicable Law.</w:t>
      </w:r>
    </w:p>
    <w:p>
      <w:pPr>
        <w:spacing w:after="0" w:line="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11.13 </w:t>
      </w:r>
      <w:r>
        <w:rPr>
          <w:rFonts w:ascii="Times New Roman" w:cs="Times New Roman" w:eastAsia="Times New Roman" w:hAnsi="Times New Roman"/>
          <w:sz w:val="14"/>
          <w:szCs w:val="14"/>
          <w:b w:val="1"/>
          <w:bCs w:val="1"/>
          <w:u w:val="single" w:color="auto"/>
          <w:color w:val="auto"/>
        </w:rPr>
        <w:t>Counterparts.</w:t>
      </w:r>
      <w:r>
        <w:rPr>
          <w:rFonts w:ascii="Times New Roman" w:cs="Times New Roman" w:eastAsia="Times New Roman" w:hAnsi="Times New Roman"/>
          <w:sz w:val="14"/>
          <w:szCs w:val="14"/>
          <w:color w:val="auto"/>
        </w:rPr>
        <w:t xml:space="preserve"> This Agreement may be executed in one or more counterparts, each of which shall be deemed an original, but all of which together shall constitute one and the same instrument. Except as provided in </w:t>
      </w:r>
      <w:r>
        <w:rPr>
          <w:rFonts w:ascii="Times New Roman" w:cs="Times New Roman" w:eastAsia="Times New Roman" w:hAnsi="Times New Roman"/>
          <w:sz w:val="14"/>
          <w:szCs w:val="14"/>
          <w:b w:val="1"/>
          <w:bCs w:val="1"/>
          <w:i w:val="1"/>
          <w:iCs w:val="1"/>
          <w:color w:val="auto"/>
        </w:rPr>
        <w:t>Section 4.1</w:t>
      </w:r>
      <w:r>
        <w:rPr>
          <w:rFonts w:ascii="Times New Roman" w:cs="Times New Roman" w:eastAsia="Times New Roman" w:hAnsi="Times New Roman"/>
          <w:sz w:val="14"/>
          <w:szCs w:val="14"/>
          <w:color w:val="auto"/>
        </w:rPr>
        <w:t>, this Agreement shall become effective when it shall have been executed by Administrative Agent and when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2"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4"/>
          <w:szCs w:val="14"/>
          <w:color w:val="auto"/>
        </w:rPr>
        <w:t xml:space="preserve">Section 11.14 </w:t>
      </w:r>
      <w:r>
        <w:rPr>
          <w:rFonts w:ascii="Times New Roman" w:cs="Times New Roman" w:eastAsia="Times New Roman" w:hAnsi="Times New Roman"/>
          <w:sz w:val="14"/>
          <w:szCs w:val="14"/>
          <w:b w:val="1"/>
          <w:bCs w:val="1"/>
          <w:u w:val="single" w:color="auto"/>
          <w:color w:val="auto"/>
        </w:rPr>
        <w:t>Severability.</w:t>
      </w:r>
      <w:r>
        <w:rPr>
          <w:rFonts w:ascii="Times New Roman" w:cs="Times New Roman" w:eastAsia="Times New Roman" w:hAnsi="Times New Roman"/>
          <w:sz w:val="14"/>
          <w:szCs w:val="14"/>
          <w:color w:val="auto"/>
        </w:rPr>
        <w:t xml:space="preserve"> Any provision of this Agreement or any other Loan Document held by a court of competent jurisdiction to be invalid or unenforceable shall not impair or invalidate the remainder of this Agreement and the effect thereof shall be confined to the provision held to be invalid or illegal. Furthermore, in lieu of such invalid or unenforceable provision there shall be added as a part of this Agreement or the other Loan Documents a provision as similar in terms to such illegal, invalid or unenforceable provision as may be possible and be legal, valid and enforceable.</w:t>
      </w:r>
    </w:p>
    <w:p>
      <w:pPr>
        <w:spacing w:after="0" w:line="166"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4"/>
          <w:szCs w:val="14"/>
          <w:color w:val="auto"/>
        </w:rPr>
        <w:t>Section 11.15</w:t>
      </w:r>
      <w:r>
        <w:rPr>
          <w:sz w:val="20"/>
          <w:szCs w:val="20"/>
          <w:color w:val="auto"/>
        </w:rPr>
        <w:tab/>
      </w:r>
      <w:r>
        <w:rPr>
          <w:rFonts w:ascii="Times New Roman" w:cs="Times New Roman" w:eastAsia="Times New Roman" w:hAnsi="Times New Roman"/>
          <w:sz w:val="14"/>
          <w:szCs w:val="14"/>
          <w:b w:val="1"/>
          <w:bCs w:val="1"/>
          <w:u w:val="single" w:color="auto"/>
          <w:color w:val="auto"/>
        </w:rPr>
        <w:t xml:space="preserve">Headings. </w:t>
      </w:r>
      <w:r>
        <w:rPr>
          <w:rFonts w:ascii="Times New Roman" w:cs="Times New Roman" w:eastAsia="Times New Roman" w:hAnsi="Times New Roman"/>
          <w:sz w:val="14"/>
          <w:szCs w:val="14"/>
          <w:color w:val="auto"/>
        </w:rPr>
        <w:t>The headings, captions, and arrangements used in this Agreement are for convenience only and shall not affect the interpretation of this Agreement.</w:t>
      </w:r>
    </w:p>
    <w:p>
      <w:pPr>
        <w:spacing w:after="0" w:line="3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 xml:space="preserve">Section 11.16 </w:t>
      </w:r>
      <w:r>
        <w:rPr>
          <w:rFonts w:ascii="Times New Roman" w:cs="Times New Roman" w:eastAsia="Times New Roman" w:hAnsi="Times New Roman"/>
          <w:sz w:val="14"/>
          <w:szCs w:val="14"/>
          <w:b w:val="1"/>
          <w:bCs w:val="1"/>
          <w:u w:val="single" w:color="auto"/>
          <w:color w:val="auto"/>
        </w:rPr>
        <w:t>Construction.</w:t>
      </w:r>
      <w:r>
        <w:rPr>
          <w:rFonts w:ascii="Times New Roman" w:cs="Times New Roman" w:eastAsia="Times New Roman" w:hAnsi="Times New Roman"/>
          <w:sz w:val="14"/>
          <w:szCs w:val="14"/>
          <w:color w:val="auto"/>
        </w:rPr>
        <w:t xml:space="preserve"> Each Loan Party, Administrative Agent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each Loan Party, Administrative Agent and each Lender.</w:t>
      </w:r>
    </w:p>
    <w:p>
      <w:pPr>
        <w:spacing w:after="0" w:line="1" w:lineRule="exact"/>
        <w:rPr>
          <w:sz w:val="20"/>
          <w:szCs w:val="20"/>
          <w:color w:val="auto"/>
        </w:rPr>
      </w:pPr>
    </w:p>
    <w:p>
      <w:pPr>
        <w:jc w:val="both"/>
        <w:ind w:firstLine="432"/>
        <w:spacing w:after="0" w:line="271" w:lineRule="auto"/>
        <w:rPr>
          <w:sz w:val="20"/>
          <w:szCs w:val="20"/>
          <w:color w:val="auto"/>
        </w:rPr>
      </w:pPr>
      <w:r>
        <w:rPr>
          <w:rFonts w:ascii="Times New Roman" w:cs="Times New Roman" w:eastAsia="Times New Roman" w:hAnsi="Times New Roman"/>
          <w:sz w:val="14"/>
          <w:szCs w:val="14"/>
          <w:color w:val="auto"/>
        </w:rPr>
        <w:t xml:space="preserve">Section 11.17 </w:t>
      </w:r>
      <w:r>
        <w:rPr>
          <w:rFonts w:ascii="Times New Roman" w:cs="Times New Roman" w:eastAsia="Times New Roman" w:hAnsi="Times New Roman"/>
          <w:sz w:val="14"/>
          <w:szCs w:val="14"/>
          <w:b w:val="1"/>
          <w:bCs w:val="1"/>
          <w:u w:val="single" w:color="auto"/>
          <w:color w:val="auto"/>
        </w:rPr>
        <w:t>Independence of Covenants.</w:t>
      </w:r>
      <w:r>
        <w:rPr>
          <w:rFonts w:ascii="Times New Roman" w:cs="Times New Roman" w:eastAsia="Times New Roman" w:hAnsi="Times New Roman"/>
          <w:sz w:val="14"/>
          <w:szCs w:val="14"/>
          <w:color w:val="auto"/>
        </w:rPr>
        <w:t xml:space="preserve"> All covenants hereunder shall be given independent effect so that if a particular action or condition is not permitted by any of such covenants, the fact that it would be permitted by an exception to, or be otherwise within the limitations of, another covenant shall not avoid the occurrence of a Default if such action is taken or such condition exists.</w:t>
      </w:r>
    </w:p>
    <w:p>
      <w:pPr>
        <w:spacing w:after="0" w:line="158" w:lineRule="exact"/>
        <w:rPr>
          <w:sz w:val="20"/>
          <w:szCs w:val="20"/>
          <w:color w:val="auto"/>
        </w:rPr>
      </w:pPr>
    </w:p>
    <w:p>
      <w:pPr>
        <w:ind w:left="420"/>
        <w:spacing w:after="0"/>
        <w:tabs>
          <w:tab w:leader="none" w:pos="1380" w:val="left"/>
        </w:tabs>
        <w:rPr>
          <w:sz w:val="20"/>
          <w:szCs w:val="20"/>
          <w:color w:val="auto"/>
        </w:rPr>
      </w:pPr>
      <w:r>
        <w:rPr>
          <w:rFonts w:ascii="Times New Roman" w:cs="Times New Roman" w:eastAsia="Times New Roman" w:hAnsi="Times New Roman"/>
          <w:sz w:val="14"/>
          <w:szCs w:val="14"/>
          <w:color w:val="auto"/>
        </w:rPr>
        <w:t>Section 11.18</w:t>
      </w:r>
      <w:r>
        <w:rPr>
          <w:sz w:val="20"/>
          <w:szCs w:val="20"/>
          <w:color w:val="auto"/>
        </w:rPr>
        <w:tab/>
      </w:r>
      <w:r>
        <w:rPr>
          <w:rFonts w:ascii="Times New Roman" w:cs="Times New Roman" w:eastAsia="Times New Roman" w:hAnsi="Times New Roman"/>
          <w:sz w:val="14"/>
          <w:szCs w:val="14"/>
          <w:b w:val="1"/>
          <w:bCs w:val="1"/>
          <w:u w:val="single" w:color="auto"/>
          <w:color w:val="auto"/>
        </w:rPr>
        <w:t xml:space="preserve">WAIVER OF JURY TRIAL. </w:t>
      </w:r>
      <w:r>
        <w:rPr>
          <w:rFonts w:ascii="Times New Roman" w:cs="Times New Roman" w:eastAsia="Times New Roman" w:hAnsi="Times New Roman"/>
          <w:sz w:val="14"/>
          <w:szCs w:val="14"/>
          <w:color w:val="auto"/>
        </w:rPr>
        <w:t>EACH PARTY HERETO HEREBY IRREVOCABLY WAIVES, TO THE FULLEST EXTENT PERMITTED BY APPLICABLE LAW,</w:t>
      </w:r>
    </w:p>
    <w:p>
      <w:pPr>
        <w:spacing w:after="0" w:line="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ectPr>
          <w:pgSz w:w="11900" w:h="16838" w:orient="portrait"/>
          <w:cols w:equalWidth="0" w:num="1">
            <w:col w:w="11300"/>
          </w:cols>
          <w:pgMar w:left="300" w:top="287" w:right="29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14"/>
          <w:szCs w:val="14"/>
          <w:b w:val="1"/>
          <w:bCs w:val="1"/>
          <w:i w:val="1"/>
          <w:iCs w:val="1"/>
          <w:color w:val="auto"/>
        </w:rPr>
        <w:t>SECTION 11.18</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4"/>
          <w:szCs w:val="14"/>
          <w:color w:val="auto"/>
        </w:rPr>
        <w:t>Section 11.19</w:t>
      </w:r>
      <w:r>
        <w:rPr>
          <w:sz w:val="20"/>
          <w:szCs w:val="20"/>
          <w:color w:val="auto"/>
        </w:rPr>
        <w:tab/>
      </w:r>
      <w:r>
        <w:rPr>
          <w:rFonts w:ascii="Times New Roman" w:cs="Times New Roman" w:eastAsia="Times New Roman" w:hAnsi="Times New Roman"/>
          <w:sz w:val="14"/>
          <w:szCs w:val="14"/>
          <w:b w:val="1"/>
          <w:bCs w:val="1"/>
          <w:u w:val="single" w:color="auto"/>
          <w:color w:val="auto"/>
        </w:rPr>
        <w:t>Additional Interest Provision; Ceiling Election</w:t>
      </w:r>
      <w:r>
        <w:rPr>
          <w:rFonts w:ascii="Times New Roman" w:cs="Times New Roman" w:eastAsia="Times New Roman" w:hAnsi="Times New Roman"/>
          <w:sz w:val="14"/>
          <w:szCs w:val="14"/>
          <w:color w:val="auto"/>
        </w:rPr>
        <w:t>.</w:t>
      </w:r>
    </w:p>
    <w:p>
      <w:pPr>
        <w:spacing w:after="0" w:line="39" w:lineRule="exact"/>
        <w:rPr>
          <w:sz w:val="20"/>
          <w:szCs w:val="20"/>
          <w:color w:val="auto"/>
        </w:rPr>
      </w:pPr>
    </w:p>
    <w:p>
      <w:pPr>
        <w:jc w:val="both"/>
        <w:ind w:left="420" w:firstLine="436"/>
        <w:spacing w:after="0" w:line="243" w:lineRule="auto"/>
        <w:tabs>
          <w:tab w:leader="none" w:pos="1230"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expressly stipulated and agreed to be the intent of each Loan Party, Administrative Agent and each Lender at all times to comply strictly with the applicable Law governing the maximum rate or amount of interest payable on the indebtedness evidenced by any Note, any other Loan Document, and the Related Indebtedness (or applicable United States federal Law to the extent that it permits any Lender to contract for, charge, take, reserve or receive a greater amount of interest than under applicable Law). If the applicable Law is ever judicially interpreted so as to render usurious any amount (a) contracted for, charged, taken, reserved or received pursuant to any Note, any of the other Loan Documents or any other communication or writing by or between any Borrower or any other Loan Party and any Lender related to the transaction or transactions that are the subject matter of the Loan Documents,</w:t>
      </w:r>
    </w:p>
    <w:p>
      <w:pPr>
        <w:spacing w:after="0" w:line="2" w:lineRule="exact"/>
        <w:rPr>
          <w:rFonts w:ascii="Times New Roman" w:cs="Times New Roman" w:eastAsia="Times New Roman" w:hAnsi="Times New Roman"/>
          <w:sz w:val="14"/>
          <w:szCs w:val="14"/>
          <w:color w:val="auto"/>
        </w:rPr>
      </w:pPr>
    </w:p>
    <w:p>
      <w:pPr>
        <w:jc w:val="both"/>
        <w:ind w:left="420" w:firstLine="4"/>
        <w:spacing w:after="0" w:line="241" w:lineRule="auto"/>
        <w:tabs>
          <w:tab w:leader="none" w:pos="626" w:val="left"/>
        </w:tabs>
        <w:numPr>
          <w:ilvl w:val="0"/>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contracted for, charged, taken, reserved or received by reason of Administrative Agent’s or any Lender’s exercise of the option to accelerate the maturity of any Note and/or the Related Indebtedness, or (c) any Loan Party will have paid or Administrative Agent or any Lender will have received by reason of any voluntary prepayment by Borrowers or any other Loan Party of any Note and/or the Related Indebtedness, then it is Borrowers’ and each other Loan Party’s, Administrative Agent’s and Lenders’ express intent that all amounts charged in excess of the Maximum Rate shall be automatically canceled, ab initio, and all amounts in excess of the Maximum Rate theretofore collected by Administrative Agent or any Lender shall be credited on the principal balance of any Note and/or the Related Indebtedness (or, if any Note and all Related Indebtedness have been or would thereby be paid in full, refunded to Borrowers or such other Loan Party, as applicable), and the provisions of any Note and the other Loan Documents shall immediately be deemed reformed and the amounts thereafter collectible hereunder and thereunder reduced, without the necessity of the execution of any new document, so as to comply with the applicable Law, but so as to permit the recovery of the fullest amount otherwise called for hereunder and thereunder;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if any Note or Related Indebtedness has been paid in full before the end of the stated term thereof, then Borrowers, each other Loan Party, Administrative Agent and each Lender agree that Administrative Agent or any Lender, as applicable, shall, with reasonable promptness after Administrative Agent or such Lender discovers or is advised by any Loan Party that interest was received in an amount in excess of the Maximum Rate, either refund such excess interest to such Loan Party, as applicable, and/or credit such excess interest against such Note and/or any Related Indebtedness then owing by Borrowers and the other Loan Parties to Administrative Agent or such Lender. Each Loan Party hereby agrees that as a condition precedent to any claim seeking usury penalties against Administrative Agent or such Lender, such Loan Party will provide written notice to Administrative Agent or any Lender, advising Administrative Agent or such Lender in reasonable detail of the nature and amount of the violation, and Administrative Agent or such Lender shall have sixty (60) days after receipt of such notice in which to correct such usury violation, if any, by either refunding such excess interest to such Loan Parties, as applicable, or crediting such excess interest against the Note to which the alleged violation relates and/or the Related Indebtedness then owing by the Loan Parties to Administrative Agent or such Lender. All sums contracted for, charged, taken, reserved or received by Administrative Agent or any Lender for the use, forbearance or detention of any debt evidenced by any Note and/or the Related Indebtedness shall, to the extent permitted by applicable Law, be amortized or spread, using the actuarial method, throughout the stated term of such Note and/or the Related Indebtedness (including any and all renewal and extension periods) until payment in full so that the rate or</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ectPr>
          <w:pgSz w:w="11900" w:h="16838" w:orient="portrait"/>
          <w:cols w:equalWidth="0" w:num="1">
            <w:col w:w="11300"/>
          </w:cols>
          <w:pgMar w:left="300" w:top="287" w:right="29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420"/>
        <w:spacing w:after="0" w:line="259" w:lineRule="auto"/>
        <w:rPr>
          <w:sz w:val="20"/>
          <w:szCs w:val="20"/>
          <w:color w:val="auto"/>
        </w:rPr>
      </w:pPr>
      <w:r>
        <w:rPr>
          <w:rFonts w:ascii="Times New Roman" w:cs="Times New Roman" w:eastAsia="Times New Roman" w:hAnsi="Times New Roman"/>
          <w:sz w:val="14"/>
          <w:szCs w:val="14"/>
          <w:color w:val="auto"/>
        </w:rPr>
        <w:t>amount of interest on account of any Note and/or the Related Indebtedness does not exceed the Maximum Rate from time to time in effect and applicable to such Note and/or the Related Indebtedness for so long as debt is outstanding. Notwithstanding anything to the contrary contained herein or in any of the other Loan Documents, it is not the intention of Administrative Agent or any Lender to accelerate the maturity of any interest that has not accrued at the time of such acceleration or to collect unearned interest at the time of such acceleration.</w:t>
      </w:r>
    </w:p>
    <w:p>
      <w:pPr>
        <w:spacing w:after="0" w:line="1" w:lineRule="exact"/>
        <w:rPr>
          <w:sz w:val="20"/>
          <w:szCs w:val="20"/>
          <w:color w:val="auto"/>
        </w:rPr>
      </w:pPr>
    </w:p>
    <w:p>
      <w:pPr>
        <w:jc w:val="both"/>
        <w:ind w:left="420" w:firstLine="436"/>
        <w:spacing w:after="0" w:line="246" w:lineRule="auto"/>
        <w:tabs>
          <w:tab w:leader="none" w:pos="1213"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any Lender is relying on Chapter 303 of the Texas Finance Code to determine the Maximum Rate payable on any Note and/or any other portion of the Obligations under the Loan Documents, such Lender will utilize the weekly ceiling from time to time in effect as provided in such Chapter 303. To the extent United States federal Law permits any Lender to contract for, charge, take, receive or reserve a greater amount of interest than under Texas Law, such Lender will rely on United States federal Law instead of such Chapter 303 for the purpose of determining the Maximum Rate. Additionally, to the extent permitted by applicable Law now or hereafter in effect, any Lender may, at its option and from time to time, utilize any other method of establishing the Maximum Rate under such Chapter 303 or under other applicable Law by giving notice, if required, to the Borrowers as provided by applicable Law now or hereafter in effect.</w:t>
      </w:r>
    </w:p>
    <w:p>
      <w:pPr>
        <w:spacing w:after="0" w:line="7"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4"/>
          <w:szCs w:val="14"/>
          <w:color w:val="auto"/>
        </w:rPr>
        <w:t xml:space="preserve">Section 11.20 </w:t>
      </w:r>
      <w:r>
        <w:rPr>
          <w:rFonts w:ascii="Times New Roman" w:cs="Times New Roman" w:eastAsia="Times New Roman" w:hAnsi="Times New Roman"/>
          <w:sz w:val="14"/>
          <w:szCs w:val="14"/>
          <w:b w:val="1"/>
          <w:bCs w:val="1"/>
          <w:u w:val="single" w:color="auto"/>
          <w:color w:val="auto"/>
        </w:rPr>
        <w:t>USA Patriot Act Notice.</w:t>
      </w:r>
      <w:r>
        <w:rPr>
          <w:rFonts w:ascii="Times New Roman" w:cs="Times New Roman" w:eastAsia="Times New Roman" w:hAnsi="Times New Roman"/>
          <w:sz w:val="14"/>
          <w:szCs w:val="14"/>
          <w:color w:val="auto"/>
        </w:rPr>
        <w:t xml:space="preserve"> Administrative Agent and each Lender hereby notifies each Loan Party that pursuant to the requirements of the Patriot Act, it is required to obtain, verify and record information that identifies each Loan Party, which information includes the name and address of each Loan Party and other information that will allow Administrative Agent and such Lender to identify each Loan Party in accordance with the Patriot Act. In addition, each Loan Party agrees to (a) ensure that no Person who owns a controlling interest in or otherwise controls any Loan Party or any Subsidiary of Holdings or any other Loan Party is or shall be a Sanctioned Person, (b) not to use or permit the use of proceeds of the Obligations to violate any Anti-Corruption Laws, Anti-Terrorism Laws or any applicable Sanctions, and (c) comply, or cause its Subsidiaries to comply, with the applicable Laws.</w:t>
      </w:r>
    </w:p>
    <w:p>
      <w:pPr>
        <w:spacing w:after="0" w:line="1" w:lineRule="exact"/>
        <w:rPr>
          <w:sz w:val="20"/>
          <w:szCs w:val="20"/>
          <w:color w:val="auto"/>
        </w:rPr>
      </w:pPr>
    </w:p>
    <w:p>
      <w:pPr>
        <w:ind w:left="420"/>
        <w:spacing w:after="0"/>
        <w:tabs>
          <w:tab w:leader="none" w:pos="1340" w:val="left"/>
        </w:tabs>
        <w:rPr>
          <w:sz w:val="20"/>
          <w:szCs w:val="20"/>
          <w:color w:val="auto"/>
        </w:rPr>
      </w:pPr>
      <w:r>
        <w:rPr>
          <w:rFonts w:ascii="Times New Roman" w:cs="Times New Roman" w:eastAsia="Times New Roman" w:hAnsi="Times New Roman"/>
          <w:sz w:val="14"/>
          <w:szCs w:val="14"/>
          <w:color w:val="auto"/>
        </w:rPr>
        <w:t>Section 11.21</w:t>
      </w:r>
      <w:r>
        <w:rPr>
          <w:sz w:val="20"/>
          <w:szCs w:val="20"/>
          <w:color w:val="auto"/>
        </w:rPr>
        <w:tab/>
      </w:r>
      <w:r>
        <w:rPr>
          <w:rFonts w:ascii="Times New Roman" w:cs="Times New Roman" w:eastAsia="Times New Roman" w:hAnsi="Times New Roman"/>
          <w:sz w:val="14"/>
          <w:szCs w:val="14"/>
          <w:b w:val="1"/>
          <w:bCs w:val="1"/>
          <w:u w:val="single" w:color="auto"/>
          <w:color w:val="auto"/>
        </w:rPr>
        <w:t>Defaulting Lenders.</w:t>
      </w:r>
    </w:p>
    <w:p>
      <w:pPr>
        <w:spacing w:after="0" w:line="37" w:lineRule="exact"/>
        <w:rPr>
          <w:sz w:val="20"/>
          <w:szCs w:val="20"/>
          <w:color w:val="auto"/>
        </w:rPr>
      </w:pPr>
    </w:p>
    <w:p>
      <w:pPr>
        <w:ind w:left="420" w:firstLine="436"/>
        <w:spacing w:after="0" w:line="262" w:lineRule="auto"/>
        <w:tabs>
          <w:tab w:leader="none" w:pos="1183" w:val="left"/>
        </w:tabs>
        <w:numPr>
          <w:ilvl w:val="0"/>
          <w:numId w:val="2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14"/>
          <w:szCs w:val="14"/>
          <w:color w:val="auto"/>
        </w:rPr>
        <w:t>. Notwithstanding anything to the contrary contained in this Agreement, if any Lender becomes a Defaulting Lender, then, until such time as that Lender is no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longer a Defaulting Lender, to the extent permitted by applicable Law:</w:t>
      </w:r>
    </w:p>
    <w:p>
      <w:pPr>
        <w:ind w:left="860" w:right="20" w:firstLine="428"/>
        <w:spacing w:after="0" w:line="267" w:lineRule="auto"/>
        <w:tabs>
          <w:tab w:leader="none" w:pos="1635" w:val="left"/>
        </w:tabs>
        <w:numPr>
          <w:ilvl w:val="1"/>
          <w:numId w:val="2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Waivers and Amendments</w:t>
      </w:r>
      <w:r>
        <w:rPr>
          <w:rFonts w:ascii="Times New Roman" w:cs="Times New Roman" w:eastAsia="Times New Roman" w:hAnsi="Times New Roman"/>
          <w:sz w:val="14"/>
          <w:szCs w:val="14"/>
          <w:color w:val="auto"/>
        </w:rPr>
        <w:t>. Such Defaulting Lender’s right to approve or disapprove any amendment, waiver or consent with respect to this Agreement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restricted as set forth in the definitions of “</w:t>
      </w:r>
      <w:r>
        <w:rPr>
          <w:rFonts w:ascii="Times New Roman" w:cs="Times New Roman" w:eastAsia="Times New Roman" w:hAnsi="Times New Roman"/>
          <w:sz w:val="14"/>
          <w:szCs w:val="14"/>
          <w:i w:val="1"/>
          <w:iCs w:val="1"/>
          <w:color w:val="auto"/>
        </w:rPr>
        <w:t>Required Lenders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Required Supermajority Lenders</w:t>
      </w:r>
      <w:r>
        <w:rPr>
          <w:rFonts w:ascii="Times New Roman" w:cs="Times New Roman" w:eastAsia="Times New Roman" w:hAnsi="Times New Roman"/>
          <w:sz w:val="14"/>
          <w:szCs w:val="14"/>
          <w:color w:val="auto"/>
        </w:rPr>
        <w:t xml:space="preserve">” and in </w:t>
      </w:r>
      <w:r>
        <w:rPr>
          <w:rFonts w:ascii="Times New Roman" w:cs="Times New Roman" w:eastAsia="Times New Roman" w:hAnsi="Times New Roman"/>
          <w:sz w:val="14"/>
          <w:szCs w:val="14"/>
          <w:b w:val="1"/>
          <w:bCs w:val="1"/>
          <w:i w:val="1"/>
          <w:iCs w:val="1"/>
          <w:color w:val="auto"/>
        </w:rPr>
        <w:t>Section 11.10</w:t>
      </w:r>
      <w:r>
        <w:rPr>
          <w:rFonts w:ascii="Times New Roman" w:cs="Times New Roman" w:eastAsia="Times New Roman" w:hAnsi="Times New Roman"/>
          <w:sz w:val="14"/>
          <w:szCs w:val="14"/>
          <w:color w:val="auto"/>
        </w:rPr>
        <w:t>.</w:t>
      </w:r>
    </w:p>
    <w:p>
      <w:pPr>
        <w:jc w:val="both"/>
        <w:ind w:left="860" w:firstLine="428"/>
        <w:spacing w:after="0" w:line="244" w:lineRule="auto"/>
        <w:tabs>
          <w:tab w:leader="none" w:pos="1630" w:val="left"/>
        </w:tabs>
        <w:numPr>
          <w:ilvl w:val="1"/>
          <w:numId w:val="2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Defaulting Lender Waterfall</w:t>
      </w:r>
      <w:r>
        <w:rPr>
          <w:rFonts w:ascii="Times New Roman" w:cs="Times New Roman" w:eastAsia="Times New Roman" w:hAnsi="Times New Roman"/>
          <w:sz w:val="14"/>
          <w:szCs w:val="14"/>
          <w:color w:val="auto"/>
        </w:rPr>
        <w:t>. Any payment of principal, interest, fees or other amounts received by Administrative Agent for the account of such Defaulting Lender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(whether voluntary or mandatory, at maturity, pursuant to </w:t>
      </w:r>
      <w:r>
        <w:rPr>
          <w:rFonts w:ascii="Times New Roman" w:cs="Times New Roman" w:eastAsia="Times New Roman" w:hAnsi="Times New Roman"/>
          <w:sz w:val="14"/>
          <w:szCs w:val="14"/>
          <w:b w:val="1"/>
          <w:bCs w:val="1"/>
          <w:i w:val="1"/>
          <w:iCs w:val="1"/>
          <w:color w:val="auto"/>
        </w:rPr>
        <w:t>Article 9</w:t>
      </w:r>
      <w:r>
        <w:rPr>
          <w:rFonts w:ascii="Times New Roman" w:cs="Times New Roman" w:eastAsia="Times New Roman" w:hAnsi="Times New Roman"/>
          <w:sz w:val="14"/>
          <w:szCs w:val="14"/>
          <w:color w:val="auto"/>
        </w:rPr>
        <w:t xml:space="preserve"> or otherwise) or received by Administrative Agent from a Defaulting Lender shall be applied at such time or times as may be determined by Administrative Agent as follows: </w:t>
      </w:r>
      <w:r>
        <w:rPr>
          <w:rFonts w:ascii="Times New Roman" w:cs="Times New Roman" w:eastAsia="Times New Roman" w:hAnsi="Times New Roman"/>
          <w:sz w:val="14"/>
          <w:szCs w:val="14"/>
          <w:i w:val="1"/>
          <w:iCs w:val="1"/>
          <w:color w:val="auto"/>
        </w:rPr>
        <w:t>first</w:t>
      </w:r>
      <w:r>
        <w:rPr>
          <w:rFonts w:ascii="Times New Roman" w:cs="Times New Roman" w:eastAsia="Times New Roman" w:hAnsi="Times New Roman"/>
          <w:sz w:val="14"/>
          <w:szCs w:val="14"/>
          <w:color w:val="auto"/>
        </w:rPr>
        <w:t xml:space="preserve">, to the payment of any amounts owing by such Defaulting Lender to Administrative Agent hereunder; </w:t>
      </w:r>
      <w:r>
        <w:rPr>
          <w:rFonts w:ascii="Times New Roman" w:cs="Times New Roman" w:eastAsia="Times New Roman" w:hAnsi="Times New Roman"/>
          <w:sz w:val="14"/>
          <w:szCs w:val="14"/>
          <w:i w:val="1"/>
          <w:iCs w:val="1"/>
          <w:color w:val="auto"/>
        </w:rPr>
        <w:t>second</w:t>
      </w:r>
      <w:r>
        <w:rPr>
          <w:rFonts w:ascii="Times New Roman" w:cs="Times New Roman" w:eastAsia="Times New Roman" w:hAnsi="Times New Roman"/>
          <w:sz w:val="14"/>
          <w:szCs w:val="14"/>
          <w:color w:val="auto"/>
        </w:rPr>
        <w:t xml:space="preserve">, to the payment on a pro rata basis of any amounts owing by such Defaulting Lender to L/C Issuer or Swing Line Lender hereunder; </w:t>
      </w:r>
      <w:r>
        <w:rPr>
          <w:rFonts w:ascii="Times New Roman" w:cs="Times New Roman" w:eastAsia="Times New Roman" w:hAnsi="Times New Roman"/>
          <w:sz w:val="14"/>
          <w:szCs w:val="14"/>
          <w:i w:val="1"/>
          <w:iCs w:val="1"/>
          <w:color w:val="auto"/>
        </w:rPr>
        <w:t>third</w:t>
      </w:r>
      <w:r>
        <w:rPr>
          <w:rFonts w:ascii="Times New Roman" w:cs="Times New Roman" w:eastAsia="Times New Roman" w:hAnsi="Times New Roman"/>
          <w:sz w:val="14"/>
          <w:szCs w:val="14"/>
          <w:color w:val="auto"/>
        </w:rPr>
        <w:t xml:space="preserve">, to Cash Collateralize L/C Issuer’s Fronting Exposure, if any, with respect to such Defaulting Lender in accordance with </w:t>
      </w:r>
      <w:r>
        <w:rPr>
          <w:rFonts w:ascii="Times New Roman" w:cs="Times New Roman" w:eastAsia="Times New Roman" w:hAnsi="Times New Roman"/>
          <w:sz w:val="14"/>
          <w:szCs w:val="14"/>
          <w:b w:val="1"/>
          <w:bCs w:val="1"/>
          <w:i w:val="1"/>
          <w:iCs w:val="1"/>
          <w:color w:val="auto"/>
        </w:rPr>
        <w:t>Section 2.7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fourth</w:t>
      </w:r>
      <w:r>
        <w:rPr>
          <w:rFonts w:ascii="Times New Roman" w:cs="Times New Roman" w:eastAsia="Times New Roman" w:hAnsi="Times New Roman"/>
          <w:sz w:val="14"/>
          <w:szCs w:val="14"/>
          <w:color w:val="auto"/>
        </w:rPr>
        <w:t xml:space="preserve">, as Borrowers may request (so long as no Default or Event of Default is continuing), to the funding of any Revolving Credit Loan in respect of which such Defaulting Lender has failed to fund its portion thereof as required by this Agreement, as determined by Administrative Agent; </w:t>
      </w:r>
      <w:r>
        <w:rPr>
          <w:rFonts w:ascii="Times New Roman" w:cs="Times New Roman" w:eastAsia="Times New Roman" w:hAnsi="Times New Roman"/>
          <w:sz w:val="14"/>
          <w:szCs w:val="14"/>
          <w:i w:val="1"/>
          <w:iCs w:val="1"/>
          <w:color w:val="auto"/>
        </w:rPr>
        <w:t>fifth</w:t>
      </w:r>
      <w:r>
        <w:rPr>
          <w:rFonts w:ascii="Times New Roman" w:cs="Times New Roman" w:eastAsia="Times New Roman" w:hAnsi="Times New Roman"/>
          <w:sz w:val="14"/>
          <w:szCs w:val="14"/>
          <w:color w:val="auto"/>
        </w:rPr>
        <w:t xml:space="preserve">, if so determined by Administrative Agent and Borrowers, to be held in a deposit account and released pro rata in order to (x) satisfy such Defaulting Lender’s potential future funding obligations with respect to Revolving Credit Loans under this Agreement and (y) Cash Collateralize L/C Issuer’s future Fronting Exposure, if any, with respect to such Defaulting Lender with respect to future Letters of Credit issued under this Agreement, in accordance with </w:t>
      </w:r>
      <w:r>
        <w:rPr>
          <w:rFonts w:ascii="Times New Roman" w:cs="Times New Roman" w:eastAsia="Times New Roman" w:hAnsi="Times New Roman"/>
          <w:sz w:val="14"/>
          <w:szCs w:val="14"/>
          <w:b w:val="1"/>
          <w:bCs w:val="1"/>
          <w:i w:val="1"/>
          <w:iCs w:val="1"/>
          <w:color w:val="auto"/>
        </w:rPr>
        <w:t>Section 2.7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sixth</w:t>
      </w:r>
      <w:r>
        <w:rPr>
          <w:rFonts w:ascii="Times New Roman" w:cs="Times New Roman" w:eastAsia="Times New Roman" w:hAnsi="Times New Roman"/>
          <w:sz w:val="14"/>
          <w:szCs w:val="14"/>
          <w:color w:val="auto"/>
        </w:rPr>
        <w:t>, to the payment of any amounts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ectPr>
          <w:pgSz w:w="11900" w:h="16838" w:orient="portrait"/>
          <w:cols w:equalWidth="0" w:num="1">
            <w:col w:w="11300"/>
          </w:cols>
          <w:pgMar w:left="300" w:top="287" w:right="29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 xml:space="preserve">owing to Lenders, L/C Issuer or Swing Line Lender as a result of any judgment of a court of competent jurisdiction obtained by any Lender, L/C Issuer or Swing Line Lender against such Defaulting Lender as a result of such Defaulting Lender’s breach of its obligations under this Agreement; </w:t>
      </w:r>
      <w:r>
        <w:rPr>
          <w:rFonts w:ascii="Times New Roman" w:cs="Times New Roman" w:eastAsia="Times New Roman" w:hAnsi="Times New Roman"/>
          <w:sz w:val="14"/>
          <w:szCs w:val="14"/>
          <w:i w:val="1"/>
          <w:iCs w:val="1"/>
          <w:color w:val="auto"/>
        </w:rPr>
        <w:t>seventh</w:t>
      </w:r>
      <w:r>
        <w:rPr>
          <w:rFonts w:ascii="Times New Roman" w:cs="Times New Roman" w:eastAsia="Times New Roman" w:hAnsi="Times New Roman"/>
          <w:sz w:val="14"/>
          <w:szCs w:val="14"/>
          <w:color w:val="auto"/>
        </w:rPr>
        <w:t xml:space="preserve">, so long as no Default or Event of Default is continuing, to the payment of any amounts owing to Borrowers as a result of any judgment of a court of competent jurisdiction obtained by Borrowers against such Defaulting Lender as a result of such Defaulting Lender’s breach of its obligations under this Agreement; and </w:t>
      </w:r>
      <w:r>
        <w:rPr>
          <w:rFonts w:ascii="Times New Roman" w:cs="Times New Roman" w:eastAsia="Times New Roman" w:hAnsi="Times New Roman"/>
          <w:sz w:val="14"/>
          <w:szCs w:val="14"/>
          <w:i w:val="1"/>
          <w:iCs w:val="1"/>
          <w:color w:val="auto"/>
        </w:rPr>
        <w:t>eighth</w:t>
      </w:r>
      <w:r>
        <w:rPr>
          <w:rFonts w:ascii="Times New Roman" w:cs="Times New Roman" w:eastAsia="Times New Roman" w:hAnsi="Times New Roman"/>
          <w:sz w:val="14"/>
          <w:szCs w:val="14"/>
          <w:color w:val="auto"/>
        </w:rPr>
        <w:t xml:space="preserve">, to such Defaulting Lender or as otherwise directed by a court of competent jurisdiction;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4"/>
          <w:szCs w:val="14"/>
          <w:b w:val="1"/>
          <w:bCs w:val="1"/>
          <w:i w:val="1"/>
          <w:iCs w:val="1"/>
          <w:color w:val="auto"/>
        </w:rPr>
        <w:t>Section 4.2</w:t>
      </w:r>
      <w:r>
        <w:rPr>
          <w:rFonts w:ascii="Times New Roman" w:cs="Times New Roman" w:eastAsia="Times New Roman" w:hAnsi="Times New Roman"/>
          <w:sz w:val="14"/>
          <w:szCs w:val="14"/>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Lenders pro rata in accordance with the Commitments under the Revolving Credit Facility without giving effect to </w:t>
      </w:r>
      <w:r>
        <w:rPr>
          <w:rFonts w:ascii="Times New Roman" w:cs="Times New Roman" w:eastAsia="Times New Roman" w:hAnsi="Times New Roman"/>
          <w:sz w:val="14"/>
          <w:szCs w:val="14"/>
          <w:b w:val="1"/>
          <w:bCs w:val="1"/>
          <w:i w:val="1"/>
          <w:iCs w:val="1"/>
          <w:color w:val="auto"/>
        </w:rPr>
        <w:t>Section 11.21(a)(iv)</w:t>
      </w:r>
      <w:r>
        <w:rPr>
          <w:rFonts w:ascii="Times New Roman" w:cs="Times New Roman" w:eastAsia="Times New Roman" w:hAnsi="Times New Roman"/>
          <w:sz w:val="14"/>
          <w:szCs w:val="14"/>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4"/>
          <w:szCs w:val="14"/>
          <w:b w:val="1"/>
          <w:bCs w:val="1"/>
          <w:i w:val="1"/>
          <w:iCs w:val="1"/>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 xml:space="preserve">11.21(a)(ii) </w:t>
      </w:r>
      <w:r>
        <w:rPr>
          <w:rFonts w:ascii="Times New Roman" w:cs="Times New Roman" w:eastAsia="Times New Roman" w:hAnsi="Times New Roman"/>
          <w:sz w:val="14"/>
          <w:szCs w:val="14"/>
          <w:color w:val="auto"/>
        </w:rPr>
        <w:t>shall be deemed paid to and redirected by such Defaulting Lender, and each Lender irrevocably consents hereto.</w:t>
      </w:r>
    </w:p>
    <w:p>
      <w:pPr>
        <w:spacing w:after="0" w:line="7" w:lineRule="exact"/>
        <w:rPr>
          <w:sz w:val="20"/>
          <w:szCs w:val="20"/>
          <w:color w:val="auto"/>
        </w:rPr>
      </w:pPr>
    </w:p>
    <w:p>
      <w:pPr>
        <w:ind w:left="780" w:hanging="352"/>
        <w:spacing w:after="0"/>
        <w:tabs>
          <w:tab w:leader="none" w:pos="780" w:val="left"/>
        </w:tabs>
        <w:numPr>
          <w:ilvl w:val="0"/>
          <w:numId w:val="2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Certain Fees</w:t>
      </w:r>
      <w:r>
        <w:rPr>
          <w:rFonts w:ascii="Times New Roman" w:cs="Times New Roman" w:eastAsia="Times New Roman" w:hAnsi="Times New Roman"/>
          <w:sz w:val="14"/>
          <w:szCs w:val="14"/>
          <w:color w:val="auto"/>
        </w:rPr>
        <w:t>.</w:t>
      </w:r>
    </w:p>
    <w:p>
      <w:pPr>
        <w:spacing w:after="0" w:line="35" w:lineRule="exact"/>
        <w:rPr>
          <w:rFonts w:ascii="Times New Roman" w:cs="Times New Roman" w:eastAsia="Times New Roman" w:hAnsi="Times New Roman"/>
          <w:sz w:val="14"/>
          <w:szCs w:val="14"/>
          <w:b w:val="1"/>
          <w:bCs w:val="1"/>
          <w:color w:val="auto"/>
        </w:rPr>
      </w:pPr>
    </w:p>
    <w:p>
      <w:pPr>
        <w:ind w:left="420" w:firstLine="440"/>
        <w:spacing w:after="0" w:line="271" w:lineRule="auto"/>
        <w:tabs>
          <w:tab w:leader="none" w:pos="1234"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Defaulting Lender shall be entitled to receive any fee payable under </w:t>
      </w:r>
      <w:r>
        <w:rPr>
          <w:rFonts w:ascii="Times New Roman" w:cs="Times New Roman" w:eastAsia="Times New Roman" w:hAnsi="Times New Roman"/>
          <w:sz w:val="14"/>
          <w:szCs w:val="14"/>
          <w:b w:val="1"/>
          <w:bCs w:val="1"/>
          <w:i w:val="1"/>
          <w:iCs w:val="1"/>
          <w:color w:val="auto"/>
        </w:rPr>
        <w:t>Section 2.4(c)</w:t>
      </w:r>
      <w:r>
        <w:rPr>
          <w:rFonts w:ascii="Times New Roman" w:cs="Times New Roman" w:eastAsia="Times New Roman" w:hAnsi="Times New Roman"/>
          <w:sz w:val="14"/>
          <w:szCs w:val="14"/>
          <w:color w:val="auto"/>
        </w:rPr>
        <w:t xml:space="preserve"> for any period during which that Lender is a Defaulting Lender (and Borrowers shall not be required to pay any such fee that otherwise would have been required to have been paid to that Defaulting Lender).</w:t>
      </w:r>
    </w:p>
    <w:p>
      <w:pPr>
        <w:ind w:left="420" w:firstLine="440"/>
        <w:spacing w:after="0" w:line="265" w:lineRule="auto"/>
        <w:tabs>
          <w:tab w:leader="none" w:pos="1236"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14"/>
          <w:szCs w:val="14"/>
          <w:b w:val="1"/>
          <w:bCs w:val="1"/>
          <w:i w:val="1"/>
          <w:iCs w:val="1"/>
          <w:color w:val="auto"/>
        </w:rPr>
        <w:t>Section 2.7</w:t>
      </w:r>
      <w:r>
        <w:rPr>
          <w:rFonts w:ascii="Times New Roman" w:cs="Times New Roman" w:eastAsia="Times New Roman" w:hAnsi="Times New Roman"/>
          <w:sz w:val="14"/>
          <w:szCs w:val="14"/>
          <w:color w:val="auto"/>
        </w:rPr>
        <w:t>.</w:t>
      </w:r>
    </w:p>
    <w:p>
      <w:pPr>
        <w:ind w:left="1220" w:hanging="360"/>
        <w:spacing w:after="0"/>
        <w:tabs>
          <w:tab w:leader="none" w:pos="1220"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respect to any fee payable under </w:t>
      </w:r>
      <w:r>
        <w:rPr>
          <w:rFonts w:ascii="Times New Roman" w:cs="Times New Roman" w:eastAsia="Times New Roman" w:hAnsi="Times New Roman"/>
          <w:sz w:val="14"/>
          <w:szCs w:val="14"/>
          <w:b w:val="1"/>
          <w:bCs w:val="1"/>
          <w:i w:val="1"/>
          <w:iCs w:val="1"/>
          <w:color w:val="auto"/>
        </w:rPr>
        <w:t>Section 2.4(c)</w:t>
      </w:r>
      <w:r>
        <w:rPr>
          <w:rFonts w:ascii="Times New Roman" w:cs="Times New Roman" w:eastAsia="Times New Roman" w:hAnsi="Times New Roman"/>
          <w:sz w:val="14"/>
          <w:szCs w:val="14"/>
          <w:color w:val="auto"/>
        </w:rPr>
        <w:t xml:space="preserve"> or to any Letter of Credit Fee not required to be paid to any Defaulting Lender pursuant to </w:t>
      </w:r>
      <w:r>
        <w:rPr>
          <w:rFonts w:ascii="Times New Roman" w:cs="Times New Roman" w:eastAsia="Times New Roman" w:hAnsi="Times New Roman"/>
          <w:sz w:val="14"/>
          <w:szCs w:val="14"/>
          <w:b w:val="1"/>
          <w:bCs w:val="1"/>
          <w:i w:val="1"/>
          <w:iCs w:val="1"/>
          <w:color w:val="auto"/>
        </w:rPr>
        <w:t>clause (A)</w:t>
      </w:r>
      <w:r>
        <w:rPr>
          <w:rFonts w:ascii="Times New Roman" w:cs="Times New Roman" w:eastAsia="Times New Roman" w:hAnsi="Times New Roman"/>
          <w:sz w:val="14"/>
          <w:szCs w:val="14"/>
          <w:color w:val="auto"/>
        </w:rPr>
        <w:t xml:space="preserve"> or</w:t>
      </w:r>
    </w:p>
    <w:p>
      <w:pPr>
        <w:spacing w:after="0" w:line="12" w:lineRule="exact"/>
        <w:rPr>
          <w:rFonts w:ascii="Times New Roman" w:cs="Times New Roman" w:eastAsia="Times New Roman" w:hAnsi="Times New Roman"/>
          <w:sz w:val="14"/>
          <w:szCs w:val="14"/>
          <w:color w:val="auto"/>
        </w:rPr>
      </w:pPr>
    </w:p>
    <w:p>
      <w:pPr>
        <w:jc w:val="both"/>
        <w:ind w:left="420"/>
        <w:spacing w:after="0" w:line="24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(B) </w:t>
      </w:r>
      <w:r>
        <w:rPr>
          <w:rFonts w:ascii="Times New Roman" w:cs="Times New Roman" w:eastAsia="Times New Roman" w:hAnsi="Times New Roman"/>
          <w:sz w:val="14"/>
          <w:szCs w:val="14"/>
          <w:color w:val="auto"/>
        </w:rPr>
        <w:t>above, Borrowers shall (x) pay to each Lender that is a Non-Defaulting Lender that portion of any such fee otherwise payable to such Defaulting Lender with respect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such Defaulting Lender’s participation in L/C Obligations or Swing Line Loans that has been reallocated to such Non-Defaulting Lender pursuant to </w:t>
      </w:r>
      <w:r>
        <w:rPr>
          <w:rFonts w:ascii="Times New Roman" w:cs="Times New Roman" w:eastAsia="Times New Roman" w:hAnsi="Times New Roman"/>
          <w:sz w:val="14"/>
          <w:szCs w:val="14"/>
          <w:b w:val="1"/>
          <w:bCs w:val="1"/>
          <w:i w:val="1"/>
          <w:iCs w:val="1"/>
          <w:color w:val="auto"/>
        </w:rPr>
        <w:t>clause (iv)</w:t>
      </w:r>
      <w:r>
        <w:rPr>
          <w:rFonts w:ascii="Times New Roman" w:cs="Times New Roman" w:eastAsia="Times New Roman" w:hAnsi="Times New Roman"/>
          <w:sz w:val="14"/>
          <w:szCs w:val="14"/>
          <w:color w:val="auto"/>
        </w:rPr>
        <w:t xml:space="preserve"> below, (y) pay to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3" w:lineRule="exact"/>
        <w:rPr>
          <w:rFonts w:ascii="Times New Roman" w:cs="Times New Roman" w:eastAsia="Times New Roman" w:hAnsi="Times New Roman"/>
          <w:sz w:val="14"/>
          <w:szCs w:val="14"/>
          <w:color w:val="auto"/>
        </w:rPr>
      </w:pPr>
    </w:p>
    <w:p>
      <w:pPr>
        <w:jc w:val="both"/>
        <w:ind w:firstLine="428"/>
        <w:spacing w:after="0" w:line="252" w:lineRule="auto"/>
        <w:tabs>
          <w:tab w:leader="none" w:pos="787" w:val="left"/>
        </w:tabs>
        <w:numPr>
          <w:ilvl w:val="0"/>
          <w:numId w:val="2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Reallocation of Applicable Percentages to Reduce Fronting Exposure</w:t>
      </w:r>
      <w:r>
        <w:rPr>
          <w:rFonts w:ascii="Times New Roman" w:cs="Times New Roman" w:eastAsia="Times New Roman" w:hAnsi="Times New Roman"/>
          <w:sz w:val="14"/>
          <w:szCs w:val="14"/>
          <w:color w:val="auto"/>
        </w:rPr>
        <w:t>. All or any part of such Defaulting Lender’s participation in L/C Obligations and Swing Line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Loans shall be reallocated among the Lenders that are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Commitment. Subject to </w:t>
      </w:r>
      <w:r>
        <w:rPr>
          <w:rFonts w:ascii="Times New Roman" w:cs="Times New Roman" w:eastAsia="Times New Roman" w:hAnsi="Times New Roman"/>
          <w:sz w:val="14"/>
          <w:szCs w:val="14"/>
          <w:b w:val="1"/>
          <w:bCs w:val="1"/>
          <w:i w:val="1"/>
          <w:iCs w:val="1"/>
          <w:color w:val="auto"/>
        </w:rPr>
        <w:t>Section 11.22</w:t>
      </w:r>
      <w:r>
        <w:rPr>
          <w:rFonts w:ascii="Times New Roman" w:cs="Times New Roman" w:eastAsia="Times New Roman" w:hAnsi="Times New Roman"/>
          <w:sz w:val="14"/>
          <w:szCs w:val="14"/>
          <w:color w:val="auto"/>
        </w:rPr>
        <w:t>, no reallocation hereunder shall constitute a waiver or release of any claim of any party hereunder against a Defaulting Lender arising from that Lender having become a Defaulting Lender, including</w:t>
      </w:r>
    </w:p>
    <w:p>
      <w:pPr>
        <w:spacing w:after="0" w:line="37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142</w:t>
      </w:r>
    </w:p>
    <w:p>
      <w:pPr>
        <w:sectPr>
          <w:pgSz w:w="11900" w:h="16838" w:orient="portrait"/>
          <w:cols w:equalWidth="0" w:num="1">
            <w:col w:w="10440"/>
          </w:cols>
          <w:pgMar w:left="1160" w:top="287" w:right="299" w:bottom="1440" w:gutter="0" w:footer="0" w:header="0"/>
        </w:sectPr>
      </w:pPr>
    </w:p>
    <w:bookmarkStart w:id="206" w:name="page207"/>
    <w:bookmarkEnd w:id="206"/>
    <w:p>
      <w:pPr>
        <w:ind w:left="10680"/>
        <w:spacing w:after="0"/>
        <w:rPr>
          <w:sz w:val="20"/>
          <w:szCs w:val="20"/>
          <w:color w:val="auto"/>
        </w:rPr>
      </w:pPr>
      <w:r>
        <w:rPr>
          <w:rFonts w:ascii="Times New Roman" w:cs="Times New Roman" w:eastAsia="Times New Roman" w:hAnsi="Times New Roman"/>
          <w:sz w:val="11"/>
          <w:szCs w:val="11"/>
          <w:b w:val="1"/>
          <w:bCs w:val="1"/>
          <w:color w:val="auto"/>
        </w:rPr>
        <w:t>Exhibit 10.1</w:t>
      </w:r>
    </w:p>
    <w:p>
      <w:pPr>
        <w:spacing w:after="0" w:line="24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any claim of a Non-Defaulting Lender as a result of such Non-Defaulting Lender’s increased exposure following such reallocation.</w:t>
      </w:r>
    </w:p>
    <w:p>
      <w:pPr>
        <w:spacing w:after="0" w:line="33" w:lineRule="exact"/>
        <w:rPr>
          <w:sz w:val="20"/>
          <w:szCs w:val="20"/>
          <w:color w:val="auto"/>
        </w:rPr>
      </w:pPr>
    </w:p>
    <w:p>
      <w:pPr>
        <w:jc w:val="both"/>
        <w:ind w:left="860" w:right="20" w:firstLine="428"/>
        <w:spacing w:after="0" w:line="260" w:lineRule="auto"/>
        <w:tabs>
          <w:tab w:leader="none" w:pos="1640" w:val="left"/>
        </w:tabs>
        <w:numPr>
          <w:ilvl w:val="1"/>
          <w:numId w:val="2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Cash Collateral, Repayment of Swing Line Loans</w:t>
      </w:r>
      <w:r>
        <w:rPr>
          <w:rFonts w:ascii="Times New Roman" w:cs="Times New Roman" w:eastAsia="Times New Roman" w:hAnsi="Times New Roman"/>
          <w:sz w:val="14"/>
          <w:szCs w:val="14"/>
          <w:color w:val="auto"/>
        </w:rPr>
        <w:t>. If the reallocation described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clause (a)(iv)</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above cannot, or can only partially, be effected, Borrowers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without prejudice to any right or remedy available to it hereunder or under applicable Law, (x) first, prepay Swing Line Loans in an amount equal to Swing Line Lender’s Fronting Exposure and (y) second, Cash Collateralize L/C Issuers’ Fronting Exposure in accordance with the procedures set forth in </w:t>
      </w:r>
      <w:r>
        <w:rPr>
          <w:rFonts w:ascii="Times New Roman" w:cs="Times New Roman" w:eastAsia="Times New Roman" w:hAnsi="Times New Roman"/>
          <w:sz w:val="14"/>
          <w:szCs w:val="14"/>
          <w:b w:val="1"/>
          <w:bCs w:val="1"/>
          <w:i w:val="1"/>
          <w:iCs w:val="1"/>
          <w:color w:val="auto"/>
        </w:rPr>
        <w:t>Section 2.7</w:t>
      </w:r>
      <w:r>
        <w:rPr>
          <w:rFonts w:ascii="Times New Roman" w:cs="Times New Roman" w:eastAsia="Times New Roman" w:hAnsi="Times New Roman"/>
          <w:sz w:val="14"/>
          <w:szCs w:val="14"/>
          <w:color w:val="auto"/>
        </w:rPr>
        <w:t>.</w:t>
      </w:r>
    </w:p>
    <w:p>
      <w:pPr>
        <w:jc w:val="both"/>
        <w:ind w:left="420" w:firstLine="436"/>
        <w:spacing w:after="0" w:line="245" w:lineRule="auto"/>
        <w:tabs>
          <w:tab w:leader="none" w:pos="1274" w:val="left"/>
        </w:tabs>
        <w:numPr>
          <w:ilvl w:val="0"/>
          <w:numId w:val="2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Defaulting Lender Cure</w:t>
      </w:r>
      <w:r>
        <w:rPr>
          <w:rFonts w:ascii="Times New Roman" w:cs="Times New Roman" w:eastAsia="Times New Roman" w:hAnsi="Times New Roman"/>
          <w:sz w:val="14"/>
          <w:szCs w:val="14"/>
          <w:color w:val="auto"/>
        </w:rPr>
        <w:t>. If Borrowers, Administrative Agent, Swing Line Lender and L/C Issuer agree in writing that a Lender is no longer a Defaulting Lender,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Administrative Agent may determine to be necessary to cause the Loans and funded and unfunded participations in Letters of Credit and Swing Line Loans to be held on a pro rata basis by Lenders in accordance with their Applicable Percentages (without giving effect to </w:t>
      </w:r>
      <w:r>
        <w:rPr>
          <w:rFonts w:ascii="Times New Roman" w:cs="Times New Roman" w:eastAsia="Times New Roman" w:hAnsi="Times New Roman"/>
          <w:sz w:val="14"/>
          <w:szCs w:val="14"/>
          <w:b w:val="1"/>
          <w:bCs w:val="1"/>
          <w:i w:val="1"/>
          <w:iCs w:val="1"/>
          <w:color w:val="auto"/>
        </w:rPr>
        <w:t>Section 11.21(a)(iv)</w:t>
      </w:r>
      <w:r>
        <w:rPr>
          <w:rFonts w:ascii="Times New Roman" w:cs="Times New Roman" w:eastAsia="Times New Roman" w:hAnsi="Times New Roman"/>
          <w:sz w:val="14"/>
          <w:szCs w:val="14"/>
          <w:color w:val="auto"/>
        </w:rPr>
        <w:t xml:space="preserve">), whereupon such Lender will cease to be a Defaulting Lender;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no adjustments will be made retroactively with respect to fees accrued or payments made by or on behalf of Borrowers while that Lender was a Defaulting Lender; and</w:t>
      </w:r>
      <w:r>
        <w:rPr>
          <w:rFonts w:ascii="Times New Roman" w:cs="Times New Roman" w:eastAsia="Times New Roman" w:hAnsi="Times New Roman"/>
          <w:sz w:val="14"/>
          <w:szCs w:val="14"/>
          <w:i w:val="1"/>
          <w:iCs w:val="1"/>
          <w:color w:val="auto"/>
        </w:rPr>
        <w:t xml:space="preserve"> 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further</w:t>
      </w:r>
      <w:r>
        <w:rPr>
          <w:rFonts w:ascii="Times New Roman" w:cs="Times New Roman" w:eastAsia="Times New Roman" w:hAnsi="Times New Roman"/>
          <w:sz w:val="14"/>
          <w:szCs w:val="14"/>
          <w:color w:val="auto"/>
        </w:rPr>
        <w:t>, that except to the extent otherwise expressly agreed by the affected parties, no change hereunder from Defaulting Lender to Lender will constitute a waiver or release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claim of any party hereunder arising from that Lender’s having been a Defaulting Lender.</w:t>
      </w:r>
    </w:p>
    <w:p>
      <w:pPr>
        <w:spacing w:after="0" w:line="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4"/>
          <w:szCs w:val="14"/>
          <w:color w:val="auto"/>
        </w:rPr>
        <w:t xml:space="preserve">Section 11.22 </w:t>
      </w:r>
      <w:r>
        <w:rPr>
          <w:rFonts w:ascii="Times New Roman" w:cs="Times New Roman" w:eastAsia="Times New Roman" w:hAnsi="Times New Roman"/>
          <w:sz w:val="14"/>
          <w:szCs w:val="14"/>
          <w:b w:val="1"/>
          <w:bCs w:val="1"/>
          <w:u w:val="single" w:color="auto"/>
          <w:color w:val="auto"/>
        </w:rPr>
        <w:t>Sharing of Payments by Lenders.</w:t>
      </w:r>
      <w:r>
        <w:rPr>
          <w:rFonts w:ascii="Times New Roman" w:cs="Times New Roman" w:eastAsia="Times New Roman" w:hAnsi="Times New Roman"/>
          <w:sz w:val="14"/>
          <w:szCs w:val="14"/>
          <w:color w:val="auto"/>
        </w:rPr>
        <w:t xml:space="preserve"> If any Lender shall, by exercising any right of setoff or counterclaim or otherwise, obtain payment in respect of any principal of or interest on any of the Loans made by it or other obligations hereunder, resulting in such Lender’s receiving payment of a proportion of the aggregate amount of such Loans and accrued interest thereon greater than its pro rata share thereof as provided herein, then the Lender receiving such greater proportion shall:</w:t>
      </w:r>
    </w:p>
    <w:p>
      <w:pPr>
        <w:spacing w:after="0" w:line="1" w:lineRule="exact"/>
        <w:rPr>
          <w:sz w:val="20"/>
          <w:szCs w:val="20"/>
          <w:color w:val="auto"/>
        </w:rPr>
      </w:pPr>
    </w:p>
    <w:p>
      <w:pPr>
        <w:ind w:left="1160" w:hanging="304"/>
        <w:spacing w:after="0"/>
        <w:tabs>
          <w:tab w:leader="none" w:pos="116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notify Administrative Agent of such fact; and</w:t>
      </w:r>
    </w:p>
    <w:p>
      <w:pPr>
        <w:spacing w:after="0" w:line="37" w:lineRule="exact"/>
        <w:rPr>
          <w:rFonts w:ascii="Times New Roman" w:cs="Times New Roman" w:eastAsia="Times New Roman" w:hAnsi="Times New Roman"/>
          <w:sz w:val="14"/>
          <w:szCs w:val="14"/>
          <w:color w:val="auto"/>
        </w:rPr>
      </w:pPr>
    </w:p>
    <w:p>
      <w:pPr>
        <w:jc w:val="both"/>
        <w:ind w:left="420" w:firstLine="436"/>
        <w:spacing w:after="0" w:line="254" w:lineRule="auto"/>
        <w:tabs>
          <w:tab w:leader="none" w:pos="1184"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(for cash at face value) participations in the Loans and such other obligations of the other Lenders, or make such other adjustments as shall be equitable, so that the benefit of all such payments shall be shared by Lenders ratably in accordance with the aggregate amount of principal of and accrued interest on their respective Loans and other amounts owing them, provided that:</w:t>
      </w:r>
    </w:p>
    <w:p>
      <w:pPr>
        <w:spacing w:after="0" w:line="1" w:lineRule="exact"/>
        <w:rPr>
          <w:rFonts w:ascii="Times New Roman" w:cs="Times New Roman" w:eastAsia="Times New Roman" w:hAnsi="Times New Roman"/>
          <w:sz w:val="14"/>
          <w:szCs w:val="14"/>
          <w:color w:val="auto"/>
        </w:rPr>
      </w:pPr>
    </w:p>
    <w:p>
      <w:pPr>
        <w:ind w:left="860" w:right="20" w:firstLine="428"/>
        <w:spacing w:after="0" w:line="265" w:lineRule="auto"/>
        <w:tabs>
          <w:tab w:leader="none" w:pos="1601"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such participations are purchased and all or any portion of the payment giving rise thereto is recovered, such participations shall be rescinded and the purchase price restored to the extent of such recovery, without interest; and</w:t>
      </w:r>
    </w:p>
    <w:p>
      <w:pPr>
        <w:jc w:val="both"/>
        <w:ind w:left="860" w:firstLine="428"/>
        <w:spacing w:after="0" w:line="256" w:lineRule="auto"/>
        <w:tabs>
          <w:tab w:leader="none" w:pos="1648"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provisions of this </w:t>
      </w:r>
      <w:r>
        <w:rPr>
          <w:rFonts w:ascii="Times New Roman" w:cs="Times New Roman" w:eastAsia="Times New Roman" w:hAnsi="Times New Roman"/>
          <w:sz w:val="14"/>
          <w:szCs w:val="14"/>
          <w:b w:val="1"/>
          <w:bCs w:val="1"/>
          <w:i w:val="1"/>
          <w:iCs w:val="1"/>
          <w:color w:val="auto"/>
        </w:rPr>
        <w:t>Section 11.22</w:t>
      </w:r>
      <w:r>
        <w:rPr>
          <w:rFonts w:ascii="Times New Roman" w:cs="Times New Roman" w:eastAsia="Times New Roman" w:hAnsi="Times New Roman"/>
          <w:sz w:val="14"/>
          <w:szCs w:val="14"/>
          <w:color w:val="auto"/>
        </w:rPr>
        <w:t xml:space="preserve"> shall not be construed to apply to: (A) any payment made by or on behalf of Borrowers pursuant to and in accordance with the express terms of this Agreement (including the application of funds arising from the existence of a Defaulting Lender); or (B) any payment obtained by a Lender as consideration for the assignment of or sale of a participation in any of its Loans or subparticipations in L/C Obligations or Swing Line Loans to any assignee or participant, other than an assignment to any Borrower or any Affiliate thereof (as to which the provisions of this </w:t>
      </w:r>
      <w:r>
        <w:rPr>
          <w:rFonts w:ascii="Times New Roman" w:cs="Times New Roman" w:eastAsia="Times New Roman" w:hAnsi="Times New Roman"/>
          <w:sz w:val="14"/>
          <w:szCs w:val="14"/>
          <w:b w:val="1"/>
          <w:bCs w:val="1"/>
          <w:i w:val="1"/>
          <w:iCs w:val="1"/>
          <w:color w:val="auto"/>
        </w:rPr>
        <w:t>Section 11.22</w:t>
      </w:r>
      <w:r>
        <w:rPr>
          <w:rFonts w:ascii="Times New Roman" w:cs="Times New Roman" w:eastAsia="Times New Roman" w:hAnsi="Times New Roman"/>
          <w:sz w:val="14"/>
          <w:szCs w:val="14"/>
          <w:color w:val="auto"/>
        </w:rPr>
        <w:t xml:space="preserve"> shall apply).</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Each Loan Party consents to the foregoing and agrees, to the extent it may effectively do so under applicable Law, that any Lender acquiring a participation pursuant to the foregoing arrangements may exercise against such Loan Party, as applicable, rights of setoff and counterclaim with respect to such participation as fully as if such Lender were a direct creditor of such Loan Party in the amount of such participation.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ectPr>
          <w:pgSz w:w="11900" w:h="16838" w:orient="portrait"/>
          <w:cols w:equalWidth="0" w:num="1">
            <w:col w:w="11300"/>
          </w:cols>
          <w:pgMar w:left="300" w:top="287" w:right="29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5"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4"/>
          <w:szCs w:val="14"/>
          <w:color w:val="auto"/>
        </w:rPr>
        <w:t xml:space="preserve">Section 11.23 </w:t>
      </w:r>
      <w:r>
        <w:rPr>
          <w:rFonts w:ascii="Times New Roman" w:cs="Times New Roman" w:eastAsia="Times New Roman" w:hAnsi="Times New Roman"/>
          <w:sz w:val="14"/>
          <w:szCs w:val="14"/>
          <w:b w:val="1"/>
          <w:bCs w:val="1"/>
          <w:u w:val="single" w:color="auto"/>
          <w:color w:val="auto"/>
        </w:rPr>
        <w:t>Payments Set Aside.</w:t>
      </w:r>
      <w:r>
        <w:rPr>
          <w:rFonts w:ascii="Times New Roman" w:cs="Times New Roman" w:eastAsia="Times New Roman" w:hAnsi="Times New Roman"/>
          <w:sz w:val="14"/>
          <w:szCs w:val="14"/>
          <w:color w:val="auto"/>
        </w:rPr>
        <w:t xml:space="preserve"> To the extent that any payment by or on behalf of any Loan Party is made to Administrative Agent, L/C Issuer or any Lender, or Administrative Agent, L/C Issuer or any Lender exercises its right of setoff, and such payment or the proceeds of such setoff or any part thereof is subsequently invalidated, declared to be fraudulent or preferential, set aside or required (including pursuant to any settlement entered into by Administrative Agent,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L/C Issuer severally agrees to pay to Administrative Agent upon demand its applicable share (without duplication) of any amount so recovered from or repaid by Administrative Agent, plus interest thereon from the date of such demand to the date such payment is made at a rate per annum equal to the Federal Funds Rate from time to time in effect. The obligations of Lenders and L/C Issuer under </w:t>
      </w:r>
      <w:r>
        <w:rPr>
          <w:rFonts w:ascii="Times New Roman" w:cs="Times New Roman" w:eastAsia="Times New Roman" w:hAnsi="Times New Roman"/>
          <w:sz w:val="14"/>
          <w:szCs w:val="14"/>
          <w:b w:val="1"/>
          <w:bCs w:val="1"/>
          <w:i w:val="1"/>
          <w:iCs w:val="1"/>
          <w:color w:val="auto"/>
        </w:rPr>
        <w:t>clause (b)</w:t>
      </w:r>
      <w:r>
        <w:rPr>
          <w:rFonts w:ascii="Times New Roman" w:cs="Times New Roman" w:eastAsia="Times New Roman" w:hAnsi="Times New Roman"/>
          <w:sz w:val="14"/>
          <w:szCs w:val="14"/>
          <w:color w:val="auto"/>
        </w:rPr>
        <w:t xml:space="preserve"> of the preceding sentence shall survive the payment in full of the Obligations and the termination of this Agreement.</w:t>
      </w:r>
    </w:p>
    <w:p>
      <w:pPr>
        <w:spacing w:after="0" w:line="8"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4"/>
          <w:szCs w:val="14"/>
          <w:color w:val="auto"/>
        </w:rPr>
        <w:t xml:space="preserve">Section 11.24 </w:t>
      </w:r>
      <w:r>
        <w:rPr>
          <w:rFonts w:ascii="Times New Roman" w:cs="Times New Roman" w:eastAsia="Times New Roman" w:hAnsi="Times New Roman"/>
          <w:sz w:val="14"/>
          <w:szCs w:val="14"/>
          <w:b w:val="1"/>
          <w:bCs w:val="1"/>
          <w:u w:val="single" w:color="auto"/>
          <w:color w:val="auto"/>
        </w:rPr>
        <w:t>Setoff.</w:t>
      </w:r>
      <w:r>
        <w:rPr>
          <w:rFonts w:ascii="Times New Roman" w:cs="Times New Roman" w:eastAsia="Times New Roman" w:hAnsi="Times New Roman"/>
          <w:sz w:val="14"/>
          <w:szCs w:val="14"/>
          <w:color w:val="auto"/>
        </w:rPr>
        <w:t xml:space="preserve"> If an Event of Default has occurred and is continuing, Administrative Agent and each Lender shall have the right to set off against the Obligations under the Loan Documents, at any time and without notice to any Loan Party, any and all deposits (general or special, time or demand, provisional or final) or other sums at any time credited by or owing from Administrative Agent or such Lender to such Loan Party whether or not the Obligations under the Loan Documents are then due;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event that any Defaulting Lender shall exercise any such right of setoff: (a) all amounts so set off shall be paid over immediately to Administrative Agent for further application in accordance with the provisions of </w:t>
      </w:r>
      <w:r>
        <w:rPr>
          <w:rFonts w:ascii="Times New Roman" w:cs="Times New Roman" w:eastAsia="Times New Roman" w:hAnsi="Times New Roman"/>
          <w:sz w:val="14"/>
          <w:szCs w:val="14"/>
          <w:b w:val="1"/>
          <w:bCs w:val="1"/>
          <w:i w:val="1"/>
          <w:iCs w:val="1"/>
          <w:color w:val="auto"/>
        </w:rPr>
        <w:t>Section 11.21</w:t>
      </w:r>
      <w:r>
        <w:rPr>
          <w:rFonts w:ascii="Times New Roman" w:cs="Times New Roman" w:eastAsia="Times New Roman" w:hAnsi="Times New Roman"/>
          <w:sz w:val="14"/>
          <w:szCs w:val="14"/>
          <w:color w:val="auto"/>
        </w:rPr>
        <w:t xml:space="preserve"> and, pending such payment, shall be segregated by such Defaulting Lender from its other funds and deemed held in trust for the benefit of Administrative Agent and Lenders; and (b) such Defaulting Lender shall provide promptly to Administrative Agent a statement describing in reasonable detail the Obligations under the Loan Documents owing to such Defaulting Lender as to which it exercised such right of setoff. Each amount set off shall be paid to Administrative Agent for application to the Obligations under the Loan Documents in the order set forth in </w:t>
      </w:r>
      <w:r>
        <w:rPr>
          <w:rFonts w:ascii="Times New Roman" w:cs="Times New Roman" w:eastAsia="Times New Roman" w:hAnsi="Times New Roman"/>
          <w:sz w:val="14"/>
          <w:szCs w:val="14"/>
          <w:b w:val="1"/>
          <w:bCs w:val="1"/>
          <w:i w:val="1"/>
          <w:iCs w:val="1"/>
          <w:color w:val="auto"/>
        </w:rPr>
        <w:t>Section 9.3</w:t>
      </w:r>
      <w:r>
        <w:rPr>
          <w:rFonts w:ascii="Times New Roman" w:cs="Times New Roman" w:eastAsia="Times New Roman" w:hAnsi="Times New Roman"/>
          <w:sz w:val="14"/>
          <w:szCs w:val="14"/>
          <w:color w:val="auto"/>
        </w:rPr>
        <w:t>. As further security for the Obligations, each Loan Party hereby grants to Administrative Agent and each Lender a security interest in all money, instruments, and other Property of such Loan Party, as applicable, now or hereafter held by Administrative Agent or such Lender, including, without limitation, Property held in safekeeping. In addition to Administrative Agent’s and each Lender’s right of setoff and as further security for the Obligations, each Loan Party hereby grants to Administrative Agent and each Lender a security interest in all deposits (general or special, time or demand, provisional or final) and other accounts of such Loan Party now or hereafter on deposit with or held by Administrative Agent or such Lender and all other sums at any time credited by or owing from Administrative Agent or such Lender to such Loan Party. The rights and remedies of Administrative Agent and each Lender hereunder are in addition to other rights and remedies (including, without limitation, other rights of setoff) which Administrative Agent or such Lender may have.</w:t>
      </w:r>
    </w:p>
    <w:p>
      <w:pPr>
        <w:spacing w:after="0" w:line="5"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4"/>
          <w:szCs w:val="14"/>
          <w:color w:val="auto"/>
        </w:rPr>
        <w:t xml:space="preserve">Section 11.25 </w:t>
      </w:r>
      <w:r>
        <w:rPr>
          <w:rFonts w:ascii="Times New Roman" w:cs="Times New Roman" w:eastAsia="Times New Roman" w:hAnsi="Times New Roman"/>
          <w:sz w:val="14"/>
          <w:szCs w:val="14"/>
          <w:b w:val="1"/>
          <w:bCs w:val="1"/>
          <w:u w:val="single" w:color="auto"/>
          <w:color w:val="auto"/>
        </w:rPr>
        <w:t>Confidentiality.</w:t>
      </w:r>
      <w:r>
        <w:rPr>
          <w:rFonts w:ascii="Times New Roman" w:cs="Times New Roman" w:eastAsia="Times New Roman" w:hAnsi="Times New Roman"/>
          <w:sz w:val="14"/>
          <w:szCs w:val="14"/>
          <w:color w:val="auto"/>
        </w:rPr>
        <w:t xml:space="preserve"> Each of Administrative Agent, L/C Issuer, Swing Line Lender and the Lenders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or shall otherwise be subject to confidentiality provisions generally), (b) to any regulatory authority purporting to have jurisdiction over it (including any self-regulatory authority, such as the National Association of Insurance Commissioners) or any Governmental Authority, quasi-Governmental Authority or legislative committee, (c) to the extent required by applicable Laws or regulations or by any subpoena or similar legal process, (d) to any other party to this Agreement or any other Loan Document, (e) in connection with the exercise of any remedies hereunder or under any other Loan Document or any suit, action or proceeding relating to this Agreement or any other Loan Document or the enforcement of rights hereunder or thereunder, (f) subject to its being under a duty of confidentiality no less restrictive than this </w:t>
      </w:r>
      <w:r>
        <w:rPr>
          <w:rFonts w:ascii="Times New Roman" w:cs="Times New Roman" w:eastAsia="Times New Roman" w:hAnsi="Times New Roman"/>
          <w:sz w:val="14"/>
          <w:szCs w:val="14"/>
          <w:b w:val="1"/>
          <w:bCs w:val="1"/>
          <w:i w:val="1"/>
          <w:iCs w:val="1"/>
          <w:color w:val="auto"/>
        </w:rPr>
        <w:t>Section 11.25</w:t>
      </w:r>
      <w:r>
        <w:rPr>
          <w:rFonts w:ascii="Times New Roman" w:cs="Times New Roman" w:eastAsia="Times New Roman" w:hAnsi="Times New Roman"/>
          <w:sz w:val="14"/>
          <w:szCs w:val="14"/>
          <w:color w:val="auto"/>
        </w:rPr>
        <w:t>, to (i) any assignee of or</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ectPr>
          <w:pgSz w:w="11900" w:h="16838" w:orient="portrait"/>
          <w:cols w:equalWidth="0" w:num="1">
            <w:col w:w="11300"/>
          </w:cols>
          <w:pgMar w:left="300" w:top="287" w:right="29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 xml:space="preserve">Participant in, or any prospective assignee of or Participant in, any of its rights or obligations under this Agreement, (ii) any actual or prospective counterparty (or its Related Parties) to any Bank Product relating to any Loan Party and its obligations, (iii) any actual or prospective purchaser of a Lender or its holding company, (iv) any rating agency or any similar organization in connection with the rating of any Loan Party or the Revolving Credit Facility or (v) the CUSIP Service Bureau or any similar organization in connection with the issuance and monitoring of CUSIP numbers with respect to the Revolving Credit Facility, (g) with the consent of Borrowers or such other applicable Loan Parties, or (h) to the extent such Information (i) becomes publicly available other than as a result of a breach of this </w:t>
      </w:r>
      <w:r>
        <w:rPr>
          <w:rFonts w:ascii="Times New Roman" w:cs="Times New Roman" w:eastAsia="Times New Roman" w:hAnsi="Times New Roman"/>
          <w:sz w:val="14"/>
          <w:szCs w:val="14"/>
          <w:b w:val="1"/>
          <w:bCs w:val="1"/>
          <w:i w:val="1"/>
          <w:iCs w:val="1"/>
          <w:color w:val="auto"/>
        </w:rPr>
        <w:t>Section 11.25</w:t>
      </w:r>
      <w:r>
        <w:rPr>
          <w:rFonts w:ascii="Times New Roman" w:cs="Times New Roman" w:eastAsia="Times New Roman" w:hAnsi="Times New Roman"/>
          <w:sz w:val="14"/>
          <w:szCs w:val="14"/>
          <w:color w:val="auto"/>
        </w:rPr>
        <w:t xml:space="preserve"> or (ii) becomes available to Administrative Agent, L/C Issuer, Swing Line Lender, any Lender or any of their respective Affiliates on a nonconfidential basis from a source other than Borrowers. In addition, Administrative Agent and the Lenders may disclose the existence of this Agreement and information about this Agreement to market data collectors, similar service providers to the lending industry and service providers to Administrative Agent and the Lenders in connection with the administration of this Agreement, the other Loan Documents, and the Commitments. For the avoidance of doubt, nothing herein prohibits any individual from communicating or disclosing Information regarding suspected violations of laws, rules or regulations to a Governmental Authority without notification to any Person.</w:t>
      </w:r>
    </w:p>
    <w:p>
      <w:pPr>
        <w:spacing w:after="0" w:line="8"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4"/>
          <w:szCs w:val="14"/>
          <w:color w:val="auto"/>
        </w:rPr>
        <w:t xml:space="preserve">For purposes of this </w:t>
      </w:r>
      <w:r>
        <w:rPr>
          <w:rFonts w:ascii="Times New Roman" w:cs="Times New Roman" w:eastAsia="Times New Roman" w:hAnsi="Times New Roman"/>
          <w:sz w:val="14"/>
          <w:szCs w:val="14"/>
          <w:b w:val="1"/>
          <w:bCs w:val="1"/>
          <w:i w:val="1"/>
          <w:iCs w:val="1"/>
          <w:color w:val="auto"/>
        </w:rPr>
        <w:t>Section 11.25</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Information</w:t>
      </w:r>
      <w:r>
        <w:rPr>
          <w:rFonts w:ascii="Times New Roman" w:cs="Times New Roman" w:eastAsia="Times New Roman" w:hAnsi="Times New Roman"/>
          <w:sz w:val="14"/>
          <w:szCs w:val="14"/>
          <w:color w:val="auto"/>
        </w:rPr>
        <w:t xml:space="preserve">” means all information received from any Borrower or any other Loan Party or any Subsidiary thereof relating to any Borrower or any other Loan Party or any Subsidiary thereof or any of their respective businesses which is clearly identified as confidential, other than any such information that is available to Administrative Agent, L/C Issuer, Swing Line Lender or any Lender on a nonconfidential basis prior to disclosure by any Borrower or any other Loan Party or any Subsidiary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case of information received from any Borrower or any other Loan Party or any Subsidiary thereof after the date hereof, such information is clearly identified at the time of delivery as confidential. Any Person required to maintain the confidentiality of Information as provided in this </w:t>
      </w:r>
      <w:r>
        <w:rPr>
          <w:rFonts w:ascii="Times New Roman" w:cs="Times New Roman" w:eastAsia="Times New Roman" w:hAnsi="Times New Roman"/>
          <w:sz w:val="14"/>
          <w:szCs w:val="14"/>
          <w:b w:val="1"/>
          <w:bCs w:val="1"/>
          <w:i w:val="1"/>
          <w:iCs w:val="1"/>
          <w:color w:val="auto"/>
        </w:rPr>
        <w:t>Section 11.25</w:t>
      </w:r>
      <w:r>
        <w:rPr>
          <w:rFonts w:ascii="Times New Roman" w:cs="Times New Roman" w:eastAsia="Times New Roman" w:hAnsi="Times New Roman"/>
          <w:sz w:val="14"/>
          <w:szCs w:val="14"/>
          <w:color w:val="auto"/>
        </w:rPr>
        <w:t xml:space="preserve"> shall be considered to have complied with its obligation to do so if such Person has exercised the same degree of care to maintain the confidentiality of such Information as such Person would accord to its own confidential information. Each Loan Party hereto agrees and confirms that, as between such Loan Party and Texas Capital Bank, the obligations of Texas Capital Bank under this </w:t>
      </w:r>
      <w:r>
        <w:rPr>
          <w:rFonts w:ascii="Times New Roman" w:cs="Times New Roman" w:eastAsia="Times New Roman" w:hAnsi="Times New Roman"/>
          <w:sz w:val="14"/>
          <w:szCs w:val="14"/>
          <w:b w:val="1"/>
          <w:bCs w:val="1"/>
          <w:i w:val="1"/>
          <w:iCs w:val="1"/>
          <w:color w:val="auto"/>
        </w:rPr>
        <w:t>Section 11.25</w:t>
      </w:r>
      <w:r>
        <w:rPr>
          <w:rFonts w:ascii="Times New Roman" w:cs="Times New Roman" w:eastAsia="Times New Roman" w:hAnsi="Times New Roman"/>
          <w:sz w:val="14"/>
          <w:szCs w:val="14"/>
          <w:color w:val="auto"/>
        </w:rPr>
        <w:t xml:space="preserve"> supersede and replace in their respective entireties all confidentiality, non-disclosure and similar obligations of Texas Capital Bank, if any, set forth in any previous agreement between such Loan Party and Texas Capital Bank notwithstanding anything to the contrary contained therein.</w:t>
      </w:r>
    </w:p>
    <w:p>
      <w:pPr>
        <w:spacing w:after="0" w:line="174"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4"/>
          <w:szCs w:val="14"/>
          <w:color w:val="auto"/>
        </w:rPr>
        <w:t>Each Loan Party hereby authorizes Administrative Agent, at its sole expense, but without any prior approval by any Loan Party, to include any Loan Party’s name, logo and the aggregate amount of the Revolving Credit Facility in tombstones and client marketing materials, and to give such other publicity to the Revolving Credit Facility as it may from time to time determine in its sole discretion. The foregoing authorization shall remain in effect unless the Borrower Representative notifies Texas Capital Bank in writing that such authorization is revoked. Each Loan Party understands and acknowledges that each Lender may provide to market data collectors, such as league table, or other service providers to the lending industry, information regarding the closing date, size, type, purpose of, and parties to, the Revolving Credit Facility.</w:t>
      </w:r>
    </w:p>
    <w:p>
      <w:pPr>
        <w:spacing w:after="0" w:line="200"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 xml:space="preserve">Section 11.26 </w:t>
      </w:r>
      <w:r>
        <w:rPr>
          <w:rFonts w:ascii="Times New Roman" w:cs="Times New Roman" w:eastAsia="Times New Roman" w:hAnsi="Times New Roman"/>
          <w:sz w:val="14"/>
          <w:szCs w:val="14"/>
          <w:b w:val="1"/>
          <w:bCs w:val="1"/>
          <w:u w:val="single" w:color="auto"/>
          <w:color w:val="auto"/>
        </w:rPr>
        <w:t>Electronic Execution of Assignments and Certain Other Documents.</w:t>
      </w:r>
      <w:r>
        <w:rPr>
          <w:rFonts w:ascii="Times New Roman" w:cs="Times New Roman" w:eastAsia="Times New Roman" w:hAnsi="Times New Roman"/>
          <w:sz w:val="14"/>
          <w:szCs w:val="14"/>
          <w:color w:val="auto"/>
        </w:rPr>
        <w:t xml:space="preserve"> The words “execute”, “execution”, “signed”, “signature”, and words of like import in or related to this Agreement, any other Loan Document or any Assignment and Assumption or in any amendment or other modification hereof (including waivers and consents) shall be deemed to include Electronic Signatures or execution in the form of an Electronic Record,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ectPr>
          <w:pgSz w:w="11900" w:h="16838" w:orient="portrait"/>
          <w:cols w:equalWidth="0" w:num="1">
            <w:col w:w="11300"/>
          </w:cols>
          <w:pgMar w:left="300" w:top="287" w:right="29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Notwithstanding anything contained herein to the contrary, Administrative Agent is under no obligation to accept an Electronic Signature in any form or in any format unless expressly agreed to by Administrative Agent pursuant to procedures approved by it; provided that without limiting the foregoing, (a) to the extent Administrative Agent has agreed to accept such Electronic Signature from any party hereto, Administrative Agent and the other parties hereto shall be entitled to rely on any such Electronic Signature purportedly given by or on behalf of the executing party without further verification and (b) upon the request of Administrative Agent or any Lender, any Electronic Signature shall be promptly followed by an original manually executed counterpart thereof.</w:t>
      </w:r>
    </w:p>
    <w:p>
      <w:pPr>
        <w:jc w:val="both"/>
        <w:ind w:firstLine="432"/>
        <w:spacing w:after="0" w:line="255" w:lineRule="auto"/>
        <w:rPr>
          <w:sz w:val="20"/>
          <w:szCs w:val="20"/>
          <w:color w:val="auto"/>
        </w:rPr>
      </w:pPr>
      <w:r>
        <w:rPr>
          <w:rFonts w:ascii="Times New Roman" w:cs="Times New Roman" w:eastAsia="Times New Roman" w:hAnsi="Times New Roman"/>
          <w:sz w:val="14"/>
          <w:szCs w:val="14"/>
          <w:color w:val="auto"/>
        </w:rPr>
        <w:t xml:space="preserve">Section 11.27 </w:t>
      </w:r>
      <w:r>
        <w:rPr>
          <w:rFonts w:ascii="Times New Roman" w:cs="Times New Roman" w:eastAsia="Times New Roman" w:hAnsi="Times New Roman"/>
          <w:sz w:val="14"/>
          <w:szCs w:val="14"/>
          <w:b w:val="1"/>
          <w:bCs w:val="1"/>
          <w:u w:val="single" w:color="auto"/>
          <w:color w:val="auto"/>
        </w:rPr>
        <w:t>Acknowledgement and Consent to Bail-In of Affected Financial Institutions.</w:t>
      </w:r>
      <w:r>
        <w:rPr>
          <w:rFonts w:ascii="Times New Roman" w:cs="Times New Roman" w:eastAsia="Times New Roman" w:hAnsi="Times New Roman"/>
          <w:sz w:val="14"/>
          <w:szCs w:val="14"/>
          <w:color w:val="auto"/>
        </w:rPr>
        <w:t xml:space="preserve">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 w:lineRule="exact"/>
        <w:rPr>
          <w:sz w:val="20"/>
          <w:szCs w:val="20"/>
          <w:color w:val="auto"/>
        </w:rPr>
      </w:pPr>
    </w:p>
    <w:p>
      <w:pPr>
        <w:ind w:left="420" w:firstLine="436"/>
        <w:spacing w:after="0" w:line="268" w:lineRule="auto"/>
        <w:tabs>
          <w:tab w:leader="none" w:pos="1173"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application of any Write-Down and Conversion Powers by the applicable Resolution Authority to any such liabilities arising hereunder which may be payable to it by any Lender that is an Affected Financial Institution; and</w:t>
      </w:r>
    </w:p>
    <w:p>
      <w:pPr>
        <w:ind w:left="1160" w:hanging="304"/>
        <w:spacing w:after="0"/>
        <w:tabs>
          <w:tab w:leader="none" w:pos="116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any Bail-In Action on any such liability, including, if applicable:</w:t>
      </w:r>
    </w:p>
    <w:p>
      <w:pPr>
        <w:spacing w:after="0" w:line="37" w:lineRule="exact"/>
        <w:rPr>
          <w:rFonts w:ascii="Times New Roman" w:cs="Times New Roman" w:eastAsia="Times New Roman" w:hAnsi="Times New Roman"/>
          <w:sz w:val="14"/>
          <w:szCs w:val="14"/>
          <w:color w:val="auto"/>
        </w:rPr>
      </w:pPr>
    </w:p>
    <w:p>
      <w:pPr>
        <w:ind w:left="1560" w:hanging="272"/>
        <w:spacing w:after="0"/>
        <w:tabs>
          <w:tab w:leader="none" w:pos="1560"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reduction in full or in part or cancellation of any such liability;</w:t>
      </w:r>
    </w:p>
    <w:p>
      <w:pPr>
        <w:spacing w:after="0" w:line="37" w:lineRule="exact"/>
        <w:rPr>
          <w:rFonts w:ascii="Times New Roman" w:cs="Times New Roman" w:eastAsia="Times New Roman" w:hAnsi="Times New Roman"/>
          <w:sz w:val="14"/>
          <w:szCs w:val="14"/>
          <w:color w:val="auto"/>
        </w:rPr>
      </w:pPr>
    </w:p>
    <w:p>
      <w:pPr>
        <w:jc w:val="both"/>
        <w:ind w:left="860" w:firstLine="428"/>
        <w:spacing w:after="0" w:line="254" w:lineRule="auto"/>
        <w:tabs>
          <w:tab w:leader="none" w:pos="1665"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 w:lineRule="exact"/>
        <w:rPr>
          <w:rFonts w:ascii="Times New Roman" w:cs="Times New Roman" w:eastAsia="Times New Roman" w:hAnsi="Times New Roman"/>
          <w:sz w:val="14"/>
          <w:szCs w:val="14"/>
          <w:color w:val="auto"/>
        </w:rPr>
      </w:pPr>
    </w:p>
    <w:p>
      <w:pPr>
        <w:ind w:left="1640" w:hanging="352"/>
        <w:spacing w:after="0"/>
        <w:tabs>
          <w:tab w:leader="none" w:pos="1640"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variation of the terms of such liability in connection with the exercise of the Write-Down and Conversion Powers of the applicable Resolution Authority.</w:t>
      </w:r>
    </w:p>
    <w:p>
      <w:pPr>
        <w:spacing w:after="0" w:line="37"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4"/>
          <w:szCs w:val="14"/>
          <w:color w:val="auto"/>
        </w:rPr>
        <w:t xml:space="preserve">Section 11.28 </w:t>
      </w:r>
      <w:r>
        <w:rPr>
          <w:rFonts w:ascii="Times New Roman" w:cs="Times New Roman" w:eastAsia="Times New Roman" w:hAnsi="Times New Roman"/>
          <w:sz w:val="14"/>
          <w:szCs w:val="14"/>
          <w:u w:val="single" w:color="auto"/>
          <w:color w:val="auto"/>
        </w:rPr>
        <w:t>Keepwell.</w:t>
      </w:r>
      <w:r>
        <w:rPr>
          <w:rFonts w:ascii="Times New Roman" w:cs="Times New Roman" w:eastAsia="Times New Roman" w:hAnsi="Times New Roman"/>
          <w:sz w:val="14"/>
          <w:szCs w:val="14"/>
          <w:color w:val="auto"/>
        </w:rPr>
        <w:t xml:space="preserve"> Each Qualified ECP Guarantor party hereby jointly and severally absolutely, unconditionally and irrevocably undertakes to provide such funds or other support as may be needed from time to time by each other Loan Party to honor all of such other Loan Party’s (a) Swap Obligations and (b) obligations under the Guaranty including those with respect to Swap Obligations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each Qualified ECP Guarantor shall only be liable under this Section for the maximum amount of such liability that can be hereby incurred without rendering its obligations under this Section, or otherwise under this Agreement or any other Loan Document, voidable under applicable Law relating to fraudulent conveyance or fraudulent transfer, and not for any greater amount). The obligations of each Qualified ECP Guarantor under this Section shall remain in full force and effect until the Obligations (other than contingent indemnification obligations that survive the termination of this Agreement) have been paid in full and the Commitments have expired or terminated. Each Qualified ECP Guarantor intends that this Section constitute, and this Section shall be deemed to constitute, a “keepwell, support, or other agreement” for the benefit of each other Loan Party for all purposes of Section 1a(18)(A)(v)(ii) of the Commodity Exchange Act.</w:t>
      </w:r>
    </w:p>
    <w:p>
      <w:pPr>
        <w:spacing w:after="0" w:line="17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4"/>
          <w:szCs w:val="14"/>
          <w:color w:val="auto"/>
        </w:rPr>
        <w:t xml:space="preserve">Section 11.29 </w:t>
      </w:r>
      <w:r>
        <w:rPr>
          <w:rFonts w:ascii="Times New Roman" w:cs="Times New Roman" w:eastAsia="Times New Roman" w:hAnsi="Times New Roman"/>
          <w:sz w:val="14"/>
          <w:szCs w:val="14"/>
          <w:b w:val="1"/>
          <w:bCs w:val="1"/>
          <w:u w:val="single" w:color="auto"/>
          <w:color w:val="auto"/>
        </w:rPr>
        <w:t>NOTICE OF FINAL AGREEMENT.</w:t>
      </w:r>
      <w:r>
        <w:rPr>
          <w:rFonts w:ascii="Times New Roman" w:cs="Times New Roman" w:eastAsia="Times New Roman" w:hAnsi="Times New Roman"/>
          <w:sz w:val="14"/>
          <w:szCs w:val="14"/>
          <w:color w:val="auto"/>
        </w:rPr>
        <w:t xml:space="preserve"> THIS AGREEMENT AND THE OTHER LOAN DOCUMENTS REPRESENT THE FINAL AGREEMENT AMONG THE PARTIES RELATING TO THE SUBJECT MATTER HEREOF AND THEREOF AND MAY NOT BE CONTRADICTED BY EVIDENCE OF PRIOR, CONTEMPORANEOUS, OR SUBSEQUENT ORAL AGREEMENTS OF THE PARTIES. THERE ARE NO UNWRITTEN ORAL AGREEMENTS AMONG THE PARTIES.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ectPr>
          <w:pgSz w:w="11900" w:h="16838" w:orient="portrait"/>
          <w:cols w:equalWidth="0" w:num="1">
            <w:col w:w="11300"/>
          </w:cols>
          <w:pgMar w:left="300" w:top="287" w:right="29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5"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4"/>
          <w:szCs w:val="14"/>
          <w:color w:val="auto"/>
        </w:rPr>
        <w:t xml:space="preserve">Section 11.320 </w:t>
      </w:r>
      <w:r>
        <w:rPr>
          <w:rFonts w:ascii="Times New Roman" w:cs="Times New Roman" w:eastAsia="Times New Roman" w:hAnsi="Times New Roman"/>
          <w:sz w:val="14"/>
          <w:szCs w:val="14"/>
          <w:b w:val="1"/>
          <w:bCs w:val="1"/>
          <w:u w:val="single" w:color="auto"/>
          <w:color w:val="auto"/>
        </w:rPr>
        <w:t>Acknowledgement Regarding Any Supported QFCs.</w:t>
      </w:r>
      <w:r>
        <w:rPr>
          <w:rFonts w:ascii="Times New Roman" w:cs="Times New Roman" w:eastAsia="Times New Roman" w:hAnsi="Times New Roman"/>
          <w:sz w:val="14"/>
          <w:szCs w:val="14"/>
          <w:color w:val="auto"/>
        </w:rPr>
        <w:t xml:space="preserve"> To the extent that the Loan Documents provide support, through a guarantee or otherwise, for Hedge Agreements or any other agreement or instrument that is a QFC (such support, “</w:t>
      </w:r>
      <w:r>
        <w:rPr>
          <w:rFonts w:ascii="Times New Roman" w:cs="Times New Roman" w:eastAsia="Times New Roman" w:hAnsi="Times New Roman"/>
          <w:sz w:val="14"/>
          <w:szCs w:val="14"/>
          <w:b w:val="1"/>
          <w:bCs w:val="1"/>
          <w:i w:val="1"/>
          <w:iCs w:val="1"/>
          <w:color w:val="auto"/>
        </w:rPr>
        <w:t>QFC Credit Support</w:t>
      </w:r>
      <w:r>
        <w:rPr>
          <w:rFonts w:ascii="Times New Roman" w:cs="Times New Roman" w:eastAsia="Times New Roman" w:hAnsi="Times New Roman"/>
          <w:sz w:val="14"/>
          <w:szCs w:val="14"/>
          <w:color w:val="auto"/>
        </w:rPr>
        <w:t>” and each such QFC a “</w:t>
      </w:r>
      <w:r>
        <w:rPr>
          <w:rFonts w:ascii="Times New Roman" w:cs="Times New Roman" w:eastAsia="Times New Roman" w:hAnsi="Times New Roman"/>
          <w:sz w:val="14"/>
          <w:szCs w:val="14"/>
          <w:b w:val="1"/>
          <w:bCs w:val="1"/>
          <w:i w:val="1"/>
          <w:iCs w:val="1"/>
          <w:color w:val="auto"/>
        </w:rPr>
        <w:t>Supported QFC</w:t>
      </w:r>
      <w:r>
        <w:rPr>
          <w:rFonts w:ascii="Times New Roman" w:cs="Times New Roman" w:eastAsia="Times New Roman" w:hAnsi="Times New Roman"/>
          <w:sz w:val="14"/>
          <w:szCs w:val="14"/>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4"/>
          <w:szCs w:val="14"/>
          <w:b w:val="1"/>
          <w:bCs w:val="1"/>
          <w:i w:val="1"/>
          <w:iCs w:val="1"/>
          <w:color w:val="auto"/>
        </w:rPr>
        <w:t>U.S. Special Resolution Regimes</w:t>
      </w:r>
      <w:r>
        <w:rPr>
          <w:rFonts w:ascii="Times New Roman" w:cs="Times New Roman" w:eastAsia="Times New Roman" w:hAnsi="Times New Roman"/>
          <w:sz w:val="14"/>
          <w:szCs w:val="14"/>
          <w:color w:val="auto"/>
        </w:rPr>
        <w:t>”) in respect of such Supported QFC and QFC Credit Support (with the provisions below applicable notwithstanding that the Loan Documents and any Supported QFC may in fact be stated to be governed by the laws of the State of Texas and/or of the United States or any other state of the United States):</w:t>
      </w:r>
    </w:p>
    <w:p>
      <w:pPr>
        <w:spacing w:after="0" w:line="162" w:lineRule="exact"/>
        <w:rPr>
          <w:sz w:val="20"/>
          <w:szCs w:val="20"/>
          <w:color w:val="auto"/>
        </w:rPr>
      </w:pPr>
    </w:p>
    <w:p>
      <w:pPr>
        <w:jc w:val="both"/>
        <w:ind w:firstLine="432"/>
        <w:spacing w:after="0" w:line="248" w:lineRule="auto"/>
        <w:rPr>
          <w:sz w:val="20"/>
          <w:szCs w:val="20"/>
          <w:color w:val="auto"/>
        </w:rPr>
      </w:pPr>
      <w:r>
        <w:rPr>
          <w:rFonts w:ascii="Times New Roman" w:cs="Times New Roman" w:eastAsia="Times New Roman" w:hAnsi="Times New Roman"/>
          <w:sz w:val="14"/>
          <w:szCs w:val="14"/>
          <w:color w:val="auto"/>
        </w:rPr>
        <w:t>In the event a Covered Entity that is party to a Supported QFC (each, a “</w:t>
      </w:r>
      <w:r>
        <w:rPr>
          <w:rFonts w:ascii="Times New Roman" w:cs="Times New Roman" w:eastAsia="Times New Roman" w:hAnsi="Times New Roman"/>
          <w:sz w:val="14"/>
          <w:szCs w:val="14"/>
          <w:b w:val="1"/>
          <w:bCs w:val="1"/>
          <w:i w:val="1"/>
          <w:iCs w:val="1"/>
          <w:color w:val="auto"/>
        </w:rPr>
        <w:t>Covered Party</w:t>
      </w:r>
      <w:r>
        <w:rPr>
          <w:rFonts w:ascii="Times New Roman" w:cs="Times New Roman" w:eastAsia="Times New Roman" w:hAnsi="Times New Roman"/>
          <w:sz w:val="14"/>
          <w:szCs w:val="14"/>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Regimes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Regimes,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4"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4"/>
          <w:szCs w:val="14"/>
          <w:color w:val="auto"/>
        </w:rPr>
        <w:t xml:space="preserve">Section 11.31 </w:t>
      </w:r>
      <w:r>
        <w:rPr>
          <w:rFonts w:ascii="Times New Roman" w:cs="Times New Roman" w:eastAsia="Times New Roman" w:hAnsi="Times New Roman"/>
          <w:sz w:val="14"/>
          <w:szCs w:val="14"/>
          <w:b w:val="1"/>
          <w:bCs w:val="1"/>
          <w:u w:val="single" w:color="auto"/>
          <w:color w:val="auto"/>
        </w:rPr>
        <w:t>Restatement; Existing Credit Agreement.</w:t>
      </w:r>
      <w:r>
        <w:rPr>
          <w:rFonts w:ascii="Times New Roman" w:cs="Times New Roman" w:eastAsia="Times New Roman" w:hAnsi="Times New Roman"/>
          <w:sz w:val="14"/>
          <w:szCs w:val="14"/>
          <w:color w:val="auto"/>
        </w:rPr>
        <w:t xml:space="preserve"> The parties hereto agree that this Agreement is a restatement of, and an extension of and amendment to, the Existing Credit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(a) such amendment and restatement shall operate to renew, amend, modify, and extend all of the rights, duties, liabilities and obligations of the Borrowers under the Existing Credit Agreement and under the Existing Loan Documents, which rights, duties, liabilities and obligations are hereby renewed, amended, modified and extended, and shall not act as a novation thereof and (b) the Liens granted by the Borrowers and each other Loan Party securing the “Obligations” (as defined in the Existing Credit Agreement) and the rights, duties, liabilities and obligations of the Borrowers and the other Loan Parties under the Existing Credit Agreement and the Existing Loan Documents to which they are a party shall not be extinguished but shall be carried forward and shall secure such obligations and liabilities as amended, renewed, extended and restated hereby. The Borrowers, jointly and severally, represent and warrant that, as of the Closing Date, there are no claims or offsets against, or defenses or counterclaims to, its obligations (or the obligations of any other Loan Party) under the Existing Credit Agreement or any of the other Existing Loan Documents. This Agreement does not in any way constitute a novation of the Existing Credit Agreement, but is an amendment and restatement of same.</w:t>
      </w:r>
    </w:p>
    <w:p>
      <w:pPr>
        <w:spacing w:after="0" w:line="8"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4"/>
          <w:szCs w:val="14"/>
          <w:color w:val="auto"/>
        </w:rPr>
        <w:t xml:space="preserve">Section 11.32 </w:t>
      </w:r>
      <w:r>
        <w:rPr>
          <w:rFonts w:ascii="Times New Roman" w:cs="Times New Roman" w:eastAsia="Times New Roman" w:hAnsi="Times New Roman"/>
          <w:sz w:val="14"/>
          <w:szCs w:val="14"/>
          <w:b w:val="1"/>
          <w:bCs w:val="1"/>
          <w:u w:val="single" w:color="auto"/>
          <w:color w:val="auto"/>
        </w:rPr>
        <w:t>True-Up.</w:t>
      </w:r>
      <w:r>
        <w:rPr>
          <w:rFonts w:ascii="Times New Roman" w:cs="Times New Roman" w:eastAsia="Times New Roman" w:hAnsi="Times New Roman"/>
          <w:sz w:val="14"/>
          <w:szCs w:val="14"/>
          <w:color w:val="auto"/>
        </w:rPr>
        <w:t xml:space="preserve"> Upon the effectiveness of this Agreement, (a) each Lender who holds Loans in an aggregate amount less than its Applicable Percentage (after giving effect to this amendment and restatement) of all Loans shall advance new Loans which shall be disbursed to the Administrative Agent and used to repay Loans outstanding to each Lender who holds Loans in an aggregate amount greater than its Applicable Percentage of all of the Loans, (b) each Lender’s participation in each Letter of Credit (after giving effect to this amendment and restatement), if any, shall be automatically adjusted to equal its Applicable Percentage and (c) such other adjustments shall be made as the Administrative Agent shall specify so that the Revolving Credit Exposure applicable to each Lender equals its Applicable Percentage (after giving effect to this amendment and restatement) of the aggregate Revolving Credit Exposure of all Lenders.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ectPr>
          <w:pgSz w:w="11900" w:h="16838" w:orient="portrait"/>
          <w:cols w:equalWidth="0" w:num="1">
            <w:col w:w="11300"/>
          </w:cols>
          <w:pgMar w:left="300" w:top="287" w:right="29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GUARANTY</w:t>
      </w:r>
    </w:p>
    <w:p>
      <w:pPr>
        <w:spacing w:after="0" w:line="23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12.1 </w:t>
      </w:r>
      <w:r>
        <w:rPr>
          <w:rFonts w:ascii="Times New Roman" w:cs="Times New Roman" w:eastAsia="Times New Roman" w:hAnsi="Times New Roman"/>
          <w:sz w:val="14"/>
          <w:szCs w:val="14"/>
          <w:b w:val="1"/>
          <w:bCs w:val="1"/>
          <w:u w:val="single" w:color="auto"/>
          <w:color w:val="auto"/>
        </w:rPr>
        <w:t>Guaranty.</w:t>
      </w:r>
      <w:r>
        <w:rPr>
          <w:rFonts w:ascii="Times New Roman" w:cs="Times New Roman" w:eastAsia="Times New Roman" w:hAnsi="Times New Roman"/>
          <w:sz w:val="14"/>
          <w:szCs w:val="14"/>
          <w:color w:val="auto"/>
        </w:rPr>
        <w:t xml:space="preserve"> In consideration of the Loans, advances and other credit heretofore or hereafter granted by the Secured Parties to Borrowers pursuant to this Agreement and the other Loan Documents and in further consideration of any Bank Product Agreements, Guarantors hereby, jointly and severally, unconditionally, absolutely and irrevocably, guarantee to the Secured Parties, the due and punctual payment at maturity, whether by acceleration or otherwise, and the due fulfillment and performance of the Obligations. Each Guarantor is jointly and severally liable for the full payment and performance of the Obligations as a primary obligor.</w:t>
      </w:r>
    </w:p>
    <w:p>
      <w:pPr>
        <w:spacing w:after="0" w:line="2"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4"/>
          <w:szCs w:val="14"/>
          <w:color w:val="auto"/>
        </w:rPr>
        <w:t xml:space="preserve">Section 12.2 </w:t>
      </w:r>
      <w:r>
        <w:rPr>
          <w:rFonts w:ascii="Times New Roman" w:cs="Times New Roman" w:eastAsia="Times New Roman" w:hAnsi="Times New Roman"/>
          <w:sz w:val="14"/>
          <w:szCs w:val="14"/>
          <w:b w:val="1"/>
          <w:bCs w:val="1"/>
          <w:u w:val="single" w:color="auto"/>
          <w:color w:val="auto"/>
        </w:rPr>
        <w:t>Payment.</w:t>
      </w:r>
      <w:r>
        <w:rPr>
          <w:rFonts w:ascii="Times New Roman" w:cs="Times New Roman" w:eastAsia="Times New Roman" w:hAnsi="Times New Roman"/>
          <w:sz w:val="14"/>
          <w:szCs w:val="14"/>
          <w:color w:val="auto"/>
        </w:rPr>
        <w:t xml:space="preserve"> If any of the Obligations is not punctually paid when such indebtedness becomes due and payable, either by its terms or as a result of the exercise of any power to accelerate, Guarantors shall, immediately on demand and without presentment, protest, notice of protest, notice of nonpayment, notice of intent to accelerate, notice of acceleration or any other notice whatsoever (all of which are expressly waived in accordance with </w:t>
      </w:r>
      <w:r>
        <w:rPr>
          <w:rFonts w:ascii="Times New Roman" w:cs="Times New Roman" w:eastAsia="Times New Roman" w:hAnsi="Times New Roman"/>
          <w:sz w:val="14"/>
          <w:szCs w:val="14"/>
          <w:b w:val="1"/>
          <w:bCs w:val="1"/>
          <w:i w:val="1"/>
          <w:iCs w:val="1"/>
          <w:color w:val="auto"/>
        </w:rPr>
        <w:t>Section 12.3</w:t>
      </w:r>
      <w:r>
        <w:rPr>
          <w:rFonts w:ascii="Times New Roman" w:cs="Times New Roman" w:eastAsia="Times New Roman" w:hAnsi="Times New Roman"/>
          <w:sz w:val="14"/>
          <w:szCs w:val="14"/>
          <w:color w:val="auto"/>
        </w:rPr>
        <w:t xml:space="preserve"> hereof), pay the amount due and payable thereon to Administrative Agent, at its Principal Office. It is not necessary for Administrative Agent, in order to enforce such payment by Guarantors, first to institute suit or exhaust its remedies against Borrowers or others liable on the Obligations, or to enforce its rights against any security given to secure such Obligations. Administrative Agent is not required to mitigate damages or take any other action to reduce, collect or enforce the Obligations. No setoff, counterclaim, reduction or diminution of any obligation, or any defense of any kind which any Guarantor has or may have against any Borrower or any Secured Party shall be available hereunder to Guarantors. No payment by any Guarantor shall discharge the liability of Guarantors hereunder until the Obligations have been fully satisfied and the Release Date shall have occurred. If Administrative Agent must rescind or restore any payment, or any part thereof, received by Administrative Agent on any part of the Obligations, any prior release or discharge from the terms of this Guaranty given Guarantors by Administrative Agent or any reduction of any Guarantor’s liability hereunder shall be without effect, and this Guaranty shall remain in full force and effect.</w:t>
      </w:r>
    </w:p>
    <w:p>
      <w:pPr>
        <w:spacing w:after="0" w:line="174" w:lineRule="exact"/>
        <w:rPr>
          <w:sz w:val="20"/>
          <w:szCs w:val="20"/>
          <w:color w:val="auto"/>
        </w:rPr>
      </w:pPr>
    </w:p>
    <w:p>
      <w:pPr>
        <w:ind w:left="420"/>
        <w:spacing w:after="0"/>
        <w:tabs>
          <w:tab w:leader="none" w:pos="1260" w:val="left"/>
        </w:tabs>
        <w:rPr>
          <w:sz w:val="20"/>
          <w:szCs w:val="20"/>
          <w:color w:val="auto"/>
        </w:rPr>
      </w:pPr>
      <w:r>
        <w:rPr>
          <w:rFonts w:ascii="Times New Roman" w:cs="Times New Roman" w:eastAsia="Times New Roman" w:hAnsi="Times New Roman"/>
          <w:sz w:val="14"/>
          <w:szCs w:val="14"/>
          <w:color w:val="auto"/>
        </w:rPr>
        <w:t>Section 12.3</w:t>
      </w:r>
      <w:r>
        <w:rPr>
          <w:sz w:val="20"/>
          <w:szCs w:val="20"/>
          <w:color w:val="auto"/>
        </w:rPr>
        <w:tab/>
      </w:r>
      <w:r>
        <w:rPr>
          <w:rFonts w:ascii="Times New Roman" w:cs="Times New Roman" w:eastAsia="Times New Roman" w:hAnsi="Times New Roman"/>
          <w:sz w:val="14"/>
          <w:szCs w:val="14"/>
          <w:b w:val="1"/>
          <w:bCs w:val="1"/>
          <w:u w:val="single" w:color="auto"/>
          <w:color w:val="auto"/>
        </w:rPr>
        <w:t xml:space="preserve">Agreements and Waivers. </w:t>
      </w:r>
      <w:r>
        <w:rPr>
          <w:rFonts w:ascii="Times New Roman" w:cs="Times New Roman" w:eastAsia="Times New Roman" w:hAnsi="Times New Roman"/>
          <w:sz w:val="14"/>
          <w:szCs w:val="14"/>
          <w:color w:val="auto"/>
        </w:rPr>
        <w:t>Each Guarantor</w:t>
      </w:r>
    </w:p>
    <w:p>
      <w:pPr>
        <w:spacing w:after="0" w:line="39" w:lineRule="exact"/>
        <w:rPr>
          <w:sz w:val="20"/>
          <w:szCs w:val="20"/>
          <w:color w:val="auto"/>
        </w:rPr>
      </w:pPr>
    </w:p>
    <w:p>
      <w:pPr>
        <w:ind w:left="1160" w:hanging="304"/>
        <w:spacing w:after="0"/>
        <w:tabs>
          <w:tab w:leader="none" w:pos="116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to all terms and agreements heretofore or hereafter made by Borrowers with Administrative Agent and/or any other Secured Party;</w:t>
      </w:r>
    </w:p>
    <w:p>
      <w:pPr>
        <w:spacing w:after="0" w:line="28" w:lineRule="exact"/>
        <w:rPr>
          <w:rFonts w:ascii="Times New Roman" w:cs="Times New Roman" w:eastAsia="Times New Roman" w:hAnsi="Times New Roman"/>
          <w:sz w:val="14"/>
          <w:szCs w:val="14"/>
          <w:color w:val="auto"/>
        </w:rPr>
      </w:pPr>
    </w:p>
    <w:p>
      <w:pPr>
        <w:jc w:val="both"/>
        <w:ind w:left="420" w:firstLine="436"/>
        <w:spacing w:after="0" w:line="246" w:lineRule="auto"/>
        <w:tabs>
          <w:tab w:leader="none" w:pos="1166"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that Administrative Agent may without impairing its rights or the obligations of such Guarantor hereunder (i) waive or delay the exercise of any of its rights or remedies against or release Borrowers or any other Person, including, without limitation, any other party who is or whose Property is liable with respect to the Obligations or any part thereof (Guarantors and any such other Person or Persons are hereafter collectively called the “</w:t>
      </w:r>
      <w:r>
        <w:rPr>
          <w:rFonts w:ascii="Times New Roman" w:cs="Times New Roman" w:eastAsia="Times New Roman" w:hAnsi="Times New Roman"/>
          <w:sz w:val="14"/>
          <w:szCs w:val="14"/>
          <w:b w:val="1"/>
          <w:bCs w:val="1"/>
          <w:i w:val="1"/>
          <w:iCs w:val="1"/>
          <w:color w:val="auto"/>
        </w:rPr>
        <w:t>Sureties</w:t>
      </w:r>
      <w:r>
        <w:rPr>
          <w:rFonts w:ascii="Times New Roman" w:cs="Times New Roman" w:eastAsia="Times New Roman" w:hAnsi="Times New Roman"/>
          <w:sz w:val="14"/>
          <w:szCs w:val="14"/>
          <w:color w:val="auto"/>
        </w:rPr>
        <w:t>” and individually called a “</w:t>
      </w:r>
      <w:r>
        <w:rPr>
          <w:rFonts w:ascii="Times New Roman" w:cs="Times New Roman" w:eastAsia="Times New Roman" w:hAnsi="Times New Roman"/>
          <w:sz w:val="14"/>
          <w:szCs w:val="14"/>
          <w:b w:val="1"/>
          <w:bCs w:val="1"/>
          <w:i w:val="1"/>
          <w:iCs w:val="1"/>
          <w:color w:val="auto"/>
        </w:rPr>
        <w:t>Surety</w:t>
      </w:r>
      <w:r>
        <w:rPr>
          <w:rFonts w:ascii="Times New Roman" w:cs="Times New Roman" w:eastAsia="Times New Roman" w:hAnsi="Times New Roman"/>
          <w:sz w:val="14"/>
          <w:szCs w:val="14"/>
          <w:color w:val="auto"/>
        </w:rPr>
        <w:t>”); (ii) take or accept any other security, collateral or guaranty, or other assurance of the payment of all or any part of the Obligations; (iii) release, surrender, exchange, subordinate or permit or suffer to exist any deterioration, waste, loss or impairment (including without limitation negligent, willful, unreasonable or unjustified impairment) of any collateral, Property or security, at any time existing in connection with, or assuring or securing payment of, all or any part of the Obligations or the liability of such Guarantor or any other Surety; (iv) increase, renew, extend, or modify the terms of any of the Obligations or any instrument or agreement evidencing the same; (v) apply payments by Borrowers, any Surety, or any other Person, to any of the Obligations; (vi) bring suit against any one or more Sureties without joining any other Surety or Borrowers in such proceeding; (vii) compromise or settle with any one or more Sureties in whole or in part for such consideration or no consideration as Administrative Agent may deem appropriate; or (viii) partially or fully release any Guarantor or any other Surety from liability hereunder;</w:t>
      </w:r>
    </w:p>
    <w:p>
      <w:pPr>
        <w:spacing w:after="0" w:line="8" w:lineRule="exact"/>
        <w:rPr>
          <w:rFonts w:ascii="Times New Roman" w:cs="Times New Roman" w:eastAsia="Times New Roman" w:hAnsi="Times New Roman"/>
          <w:sz w:val="14"/>
          <w:szCs w:val="14"/>
          <w:color w:val="auto"/>
        </w:rPr>
      </w:pPr>
    </w:p>
    <w:p>
      <w:pPr>
        <w:jc w:val="both"/>
        <w:ind w:left="420" w:firstLine="436"/>
        <w:spacing w:after="0" w:line="260" w:lineRule="auto"/>
        <w:tabs>
          <w:tab w:leader="none" w:pos="1249"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that the obligations of such Guarantor under this Guaranty shall not be released, diminished, or adversely affected by any of the following: (i) the insolvency, bankruptcy, rearrangement, adjustment, composition, liquidation, disability, dissolution or lack of power of Borrowers or any Surety; (ii) the invalidity, illegality or unenforceability of all or any part of the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ectPr>
          <w:pgSz w:w="11900" w:h="16838" w:orient="portrait"/>
          <w:cols w:equalWidth="0" w:num="1">
            <w:col w:w="11300"/>
          </w:cols>
          <w:pgMar w:left="300" w:top="287" w:right="29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left="420"/>
        <w:spacing w:after="0" w:line="244" w:lineRule="auto"/>
        <w:rPr>
          <w:sz w:val="20"/>
          <w:szCs w:val="20"/>
          <w:color w:val="auto"/>
        </w:rPr>
      </w:pPr>
      <w:r>
        <w:rPr>
          <w:rFonts w:ascii="Times New Roman" w:cs="Times New Roman" w:eastAsia="Times New Roman" w:hAnsi="Times New Roman"/>
          <w:sz w:val="14"/>
          <w:szCs w:val="14"/>
          <w:color w:val="auto"/>
        </w:rPr>
        <w:t>Obligations or any document or agreement executed in connection with the Obligations, for any reason, or the fact that any debt included in the Obligations exceeds the amount permitted by Law; (iii) the failure of Administrative Agent or any other party to exercise diligence or reasonable care or to act in a commercially reasonable manner in the preservation, protection, enforcement, sale or other handling or treatment of all or any part of such collateral, Property or security; (iv) the fact that any collateral, security or Lien contemplated or intended to be given, created or granted as security for the repayment of the Obligations is not properly perfected or created, or proves to be unenforceable or subordinate to any other Lien; (v) the fact that any Borrower has any defense to the payment of all or any part of the Obligations; (vi) any payment by Borrowers or any Surety to Administrative Agent and/or any other Secured Party is a preference under applicable Debtor Relief Laws, or for any reason Administrative Agent and/or any other Secured Party is required to refund such payment or pay such amounts to Borrowers, any such Surety, or someone else; (vii) any defenses which Borrowers could assert on the Obligations, including but not limited to failure of consideration, breach of warranty, fraud, payment, accord and satisfaction, strict foreclosure, statute of frauds, bankruptcy, statute of limitations, lender liability and usury; or (viii) any other action taken or omitted to be taken with respect to this Agreement, the Loan Documents, the Obligations, the security and collateral therefor whether or not such action or omission prejudices such Guarantor or any Surety, or increases the likelihood that such Guarantor will be required to pay the Obligations pursuant to the terms hereof;</w:t>
      </w:r>
    </w:p>
    <w:p>
      <w:pPr>
        <w:spacing w:after="0" w:line="10" w:lineRule="exact"/>
        <w:rPr>
          <w:sz w:val="20"/>
          <w:szCs w:val="20"/>
          <w:color w:val="auto"/>
        </w:rPr>
      </w:pPr>
    </w:p>
    <w:p>
      <w:pPr>
        <w:ind w:left="420" w:firstLine="436"/>
        <w:spacing w:after="0" w:line="268" w:lineRule="auto"/>
        <w:tabs>
          <w:tab w:leader="none" w:pos="1181"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that such Guarantor is obligated to pay the Obligations when due, notwithstanding any occurrence, circumstance, event, action or omission whatsoever, whether or not particularly described herein, except for the full and final payment and satisfaction of the Obligations;</w:t>
      </w:r>
    </w:p>
    <w:p>
      <w:pPr>
        <w:ind w:left="420" w:firstLine="436"/>
        <w:spacing w:after="0" w:line="268" w:lineRule="auto"/>
        <w:tabs>
          <w:tab w:leader="none" w:pos="1159"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allowed by applicable Law, waives all rights and remedies now or hereafter accorded by applicable Law to guarantors or sureties, including without limitation any defense, right of offset or other claim which such Guarantor may have against Borrowers or which Borrowers may have against Administrative Agent and/or the Lenders;</w:t>
      </w:r>
    </w:p>
    <w:p>
      <w:pPr>
        <w:jc w:val="both"/>
        <w:ind w:left="420" w:firstLine="436"/>
        <w:spacing w:after="0" w:line="250" w:lineRule="auto"/>
        <w:tabs>
          <w:tab w:leader="none" w:pos="1146"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waives all notices whatsoever with respect to this Guaranty or with respect to the Obligations, including, but without limitation, notice of (i) Administrative Agent’s and/or any other Secured Party’s acceptance hereof or its intention to act, or its action, in reliance hereon; (ii) the present existence, future incurring, or any amendment of the provisions of any of the Obligations or any terms or amounts thereof or any change therein in the rate of interest thereon; (iii) any default by Borrowers or any Surety; or (iv) the obtaining, enforcing, or releasing of any guaranty or surety agreement (in addition hereto), pledge, assignment or other security for any of the Obligations;</w:t>
      </w:r>
    </w:p>
    <w:p>
      <w:pPr>
        <w:spacing w:after="0" w:line="4" w:lineRule="exact"/>
        <w:rPr>
          <w:rFonts w:ascii="Times New Roman" w:cs="Times New Roman" w:eastAsia="Times New Roman" w:hAnsi="Times New Roman"/>
          <w:sz w:val="14"/>
          <w:szCs w:val="14"/>
          <w:color w:val="auto"/>
        </w:rPr>
      </w:pPr>
    </w:p>
    <w:p>
      <w:pPr>
        <w:jc w:val="both"/>
        <w:ind w:left="420" w:firstLine="436"/>
        <w:spacing w:after="0" w:line="259" w:lineRule="auto"/>
        <w:tabs>
          <w:tab w:leader="none" w:pos="1173"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waives notice of presentment for payment, notice of protest, protest, demand, notice of intent to accelerate, notice of acceleration and notice of nonpayment, protest in relation to any instrument evidencing any of the Obligations, and any demands and notices required by Law, except as such waiver may be expressly prohibited by Law, and diligence in bringing suits against any Surety; and</w:t>
      </w:r>
    </w:p>
    <w:p>
      <w:pPr>
        <w:jc w:val="both"/>
        <w:ind w:left="420" w:firstLine="436"/>
        <w:spacing w:after="0" w:line="254" w:lineRule="auto"/>
        <w:tabs>
          <w:tab w:leader="none" w:pos="1182"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waives each right to which it may be entitled by virtue of the Laws of the State of Texas governing or relating to suretyship and guaranties, including, without limitation, any rights under Rule 31, Texas Rules of Civil Procedure, Chapter 51 of the Texas Property Code, Section 17.001 of the Texas Civil Practice and Remedies Code, Section 3.605 of the Uniform Commercial Code, and Chapter 43 of the Texas Civil Practice and Remedies Code, as any or all the same may be amended or construed from time to time, or the common law of the State of Texas at all relevant times.</w:t>
      </w:r>
    </w:p>
    <w:p>
      <w:pPr>
        <w:jc w:val="both"/>
        <w:ind w:firstLine="432"/>
        <w:spacing w:after="0" w:line="256" w:lineRule="auto"/>
        <w:rPr>
          <w:sz w:val="20"/>
          <w:szCs w:val="20"/>
          <w:color w:val="auto"/>
        </w:rPr>
      </w:pPr>
      <w:r>
        <w:rPr>
          <w:rFonts w:ascii="Times New Roman" w:cs="Times New Roman" w:eastAsia="Times New Roman" w:hAnsi="Times New Roman"/>
          <w:sz w:val="14"/>
          <w:szCs w:val="14"/>
          <w:color w:val="auto"/>
        </w:rPr>
        <w:t xml:space="preserve">Section 12.4 </w:t>
      </w:r>
      <w:r>
        <w:rPr>
          <w:rFonts w:ascii="Times New Roman" w:cs="Times New Roman" w:eastAsia="Times New Roman" w:hAnsi="Times New Roman"/>
          <w:sz w:val="14"/>
          <w:szCs w:val="14"/>
          <w:b w:val="1"/>
          <w:bCs w:val="1"/>
          <w:u w:val="single" w:color="auto"/>
          <w:color w:val="auto"/>
        </w:rPr>
        <w:t>Liability.</w:t>
      </w:r>
      <w:r>
        <w:rPr>
          <w:rFonts w:ascii="Times New Roman" w:cs="Times New Roman" w:eastAsia="Times New Roman" w:hAnsi="Times New Roman"/>
          <w:sz w:val="14"/>
          <w:szCs w:val="14"/>
          <w:color w:val="auto"/>
        </w:rPr>
        <w:t xml:space="preserve"> The liability of each Guarantor under this Guaranty is irrevocable, absolute and unconditional, without regard to the liability of any other Person, and shall not in any manner be affected by reason of any action taken or not taken by Administrative Agent and/or any other Secured Party, which action or inaction is herein consented and agreed to, nor by the partial or complete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149</w:t>
      </w:r>
    </w:p>
    <w:p>
      <w:pPr>
        <w:sectPr>
          <w:pgSz w:w="11900" w:h="16838" w:orient="portrait"/>
          <w:cols w:equalWidth="0" w:num="1">
            <w:col w:w="11300"/>
          </w:cols>
          <w:pgMar w:left="300" w:top="287" w:right="29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unenforceability or invalidity of any other guaranty or surety agreement, pledge, assignment or other security for any of the Obligations. No delay in making demand on Sureties or any of them for satisfaction of the liability hereunder shall prejudice Administrative Agent’s right to enforce such satisfaction. All of Administrative Agent’s rights and remedies shall be cumulative and any failure of Administrative Agent to exercise any right hereunder shall not be construed as a waiver of the right to exercise the same or any other right at any time, and from time to time, thereafter. This is a continuing guaranty of payment, not a guaranty of collection, and this Guaranty shall be binding upon Guarantors regardless of how long before or after the date hereof any of the Obligations were or are incurred.</w:t>
      </w:r>
    </w:p>
    <w:p>
      <w:pPr>
        <w:spacing w:after="0" w:line="2"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4"/>
          <w:szCs w:val="14"/>
          <w:color w:val="auto"/>
        </w:rPr>
        <w:t xml:space="preserve">Section 12.5 </w:t>
      </w:r>
      <w:r>
        <w:rPr>
          <w:rFonts w:ascii="Times New Roman" w:cs="Times New Roman" w:eastAsia="Times New Roman" w:hAnsi="Times New Roman"/>
          <w:sz w:val="14"/>
          <w:szCs w:val="14"/>
          <w:b w:val="1"/>
          <w:bCs w:val="1"/>
          <w:u w:val="single" w:color="auto"/>
          <w:color w:val="auto"/>
        </w:rPr>
        <w:t>Subordination.</w:t>
      </w:r>
      <w:r>
        <w:rPr>
          <w:rFonts w:ascii="Times New Roman" w:cs="Times New Roman" w:eastAsia="Times New Roman" w:hAnsi="Times New Roman"/>
          <w:sz w:val="14"/>
          <w:szCs w:val="14"/>
          <w:color w:val="auto"/>
        </w:rPr>
        <w:t xml:space="preserve"> If a Borrower or any other Loan Party is now or hereafter becomes indebted to one or more Guarantors (such indebtedness and all interest thereon is referred to as the “</w:t>
      </w:r>
      <w:r>
        <w:rPr>
          <w:rFonts w:ascii="Times New Roman" w:cs="Times New Roman" w:eastAsia="Times New Roman" w:hAnsi="Times New Roman"/>
          <w:sz w:val="14"/>
          <w:szCs w:val="14"/>
          <w:b w:val="1"/>
          <w:bCs w:val="1"/>
          <w:i w:val="1"/>
          <w:iCs w:val="1"/>
          <w:color w:val="auto"/>
        </w:rPr>
        <w:t>Affiliated Debt</w:t>
      </w:r>
      <w:r>
        <w:rPr>
          <w:rFonts w:ascii="Times New Roman" w:cs="Times New Roman" w:eastAsia="Times New Roman" w:hAnsi="Times New Roman"/>
          <w:sz w:val="14"/>
          <w:szCs w:val="14"/>
          <w:color w:val="auto"/>
        </w:rPr>
        <w:t>”), such Affiliated Debt shall be subordinate in all respects to the full payment and performance of the Obligations, and no Guarantor shall be entitled to enforce or receive payment with respect to any Affiliated Debt until the Release Date. Each Guarantor agrees that any Liens, mortgages, deeds of trust, security interests, judgment liens, charges or other encumbrances upon any Loan Party’s assets securing the payment of the Affiliated Debt shall be and remain subordinate and inferior to any Liens, mortgages, deeds of trust, security interests, judgment liens, charges or other encumbrances upon any Loan Party’s assets securing the payment of the Obligations, and without the prior written consent of Administrative Agent, no Guarantor shall exercise or enforce any creditor’s rights of any nature against any Loan Party to collect the Affiliated Debt (other than demand payment therefor). In the event of the receivership, bankruptcy, reorganization, arrangement, debtor’s relief or other insolvency proceedings involving any Borrower or any applicable Loan Party as a debtor, Administrative Agent has the right and authority, either in its own name or as attorney-in-fact for any applicable Guarantor, to file such proof of debt, claim, petition or other documents and to take such other steps as are necessary to prove its rights hereunder and receive directly from the receiver, trustee or other court custodian, payments, distributions or other dividends which would otherwise be payable upon the Affiliated Debt. Each Guarantor hereby assigns such payments, distributions and dividends to Administrative Agent, and irrevocably appoints Administrative Agent as its true and lawful attorney-in-fact with authority to make and file in the name of such Guarantor any proof of debt, amendment of proof of debt, claim, petition or other document in such proceedings and to receive payment of any sums becoming distributable on account of the Affiliated Debt, and to execute such other documents and to give acquittances therefor and to do and perform all such other acts and things for and on behalf of such Guarantor as may be necessary in the opinion of Administrative Agent in order to have the Affiliated Debt allowed in any such proceeding and to receive payments, distributions or dividends of or on account of the Affiliated Debt.</w:t>
      </w:r>
    </w:p>
    <w:p>
      <w:pPr>
        <w:spacing w:after="0" w:line="176"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4"/>
          <w:szCs w:val="14"/>
          <w:color w:val="auto"/>
        </w:rPr>
        <w:t xml:space="preserve">Section 12.6 </w:t>
      </w:r>
      <w:r>
        <w:rPr>
          <w:rFonts w:ascii="Times New Roman" w:cs="Times New Roman" w:eastAsia="Times New Roman" w:hAnsi="Times New Roman"/>
          <w:sz w:val="14"/>
          <w:szCs w:val="14"/>
          <w:b w:val="1"/>
          <w:bCs w:val="1"/>
          <w:u w:val="single" w:color="auto"/>
          <w:color w:val="auto"/>
        </w:rPr>
        <w:t>Subrogation.</w:t>
      </w:r>
      <w:r>
        <w:rPr>
          <w:rFonts w:ascii="Times New Roman" w:cs="Times New Roman" w:eastAsia="Times New Roman" w:hAnsi="Times New Roman"/>
          <w:sz w:val="14"/>
          <w:szCs w:val="14"/>
          <w:color w:val="auto"/>
        </w:rPr>
        <w:t xml:space="preserve"> No Guarantor waives or releases any rights of subrogation, reimbursement or contribution which such Guarantor may have, after full and final payment of the Obligations, against others liable on the Obligations. Each Guarantor’s rights of subrogation and reimbursement are subordinate in all respects to the rights and claims of Administrative Agent and the other Secured Parties, and no Guarantor may exercise any rights it may acquire by way of subrogation under this Guaranty, by payment made hereunder or otherwise, until the Release Date. If any amount is paid to any Guarantor on account of such subrogation rights prior to the Release Date, such amount shall be held in trust for the benefit of Administrative Agent and/or the other Secured Parties to be credited and applied on the Obligations, whether matured or unmatured.</w:t>
      </w:r>
    </w:p>
    <w:p>
      <w:pPr>
        <w:spacing w:after="0" w:line="1"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 xml:space="preserve">Section 12.7 </w:t>
      </w:r>
      <w:r>
        <w:rPr>
          <w:rFonts w:ascii="Times New Roman" w:cs="Times New Roman" w:eastAsia="Times New Roman" w:hAnsi="Times New Roman"/>
          <w:sz w:val="14"/>
          <w:szCs w:val="14"/>
          <w:b w:val="1"/>
          <w:bCs w:val="1"/>
          <w:u w:val="single" w:color="auto"/>
          <w:color w:val="auto"/>
        </w:rPr>
        <w:t>Other Indebtedness or Obligations of Guarantors.</w:t>
      </w:r>
      <w:r>
        <w:rPr>
          <w:rFonts w:ascii="Times New Roman" w:cs="Times New Roman" w:eastAsia="Times New Roman" w:hAnsi="Times New Roman"/>
          <w:sz w:val="14"/>
          <w:szCs w:val="14"/>
          <w:color w:val="auto"/>
        </w:rPr>
        <w:t xml:space="preserve"> If any Guarantor is or becomes liable for any indebtedness owed by any Loan Party to the Lenders by endorsement or otherwise than under this Guaranty, such liability shall not be affected by this Guaranty, and the rights of Administrative Agent and the Lenders hereunder shall be cumulative of all other rights that Administrative Agent and the Lenders may have against such Guarantor. The exercise by Administrative Agent of any right or remedy hereunder or under any other instrument or at law or in equity shall not preclude the concurrent or subsequent exercise of any other instrument or remedy at law or in equity and shall not preclude the concurrent or subsequent exercise of any other right or remedy. Further, without limiting the generality of the foregoing, this Guaranty is given by Guarantors as an additional guaranty to all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150</w:t>
      </w:r>
    </w:p>
    <w:p>
      <w:pPr>
        <w:sectPr>
          <w:pgSz w:w="11900" w:h="16838" w:orient="portrait"/>
          <w:cols w:equalWidth="0" w:num="1">
            <w:col w:w="11300"/>
          </w:cols>
          <w:pgMar w:left="300" w:top="287" w:right="29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4"/>
          <w:szCs w:val="14"/>
          <w:color w:val="auto"/>
        </w:rPr>
        <w:t>guaranties heretofore or hereafter executed and delivered to Administrative Agent and/or the Lenders by Guarantors in favor of Administrative Agent and/or the Lenders relating to the indebtedness of the Loan Parties to the Secured Parties, and nothing herein shall be deemed to replace or be in lieu of any other of such previous or subsequent guarantees.</w:t>
      </w:r>
    </w:p>
    <w:p>
      <w:pPr>
        <w:spacing w:after="0" w:line="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4"/>
          <w:szCs w:val="14"/>
          <w:color w:val="auto"/>
        </w:rPr>
        <w:t xml:space="preserve">Section 12.8 </w:t>
      </w:r>
      <w:r>
        <w:rPr>
          <w:rFonts w:ascii="Times New Roman" w:cs="Times New Roman" w:eastAsia="Times New Roman" w:hAnsi="Times New Roman"/>
          <w:sz w:val="14"/>
          <w:szCs w:val="14"/>
          <w:b w:val="1"/>
          <w:bCs w:val="1"/>
          <w:u w:val="single" w:color="auto"/>
          <w:color w:val="auto"/>
        </w:rPr>
        <w:t>Costs and Expenses.</w:t>
      </w:r>
      <w:r>
        <w:rPr>
          <w:rFonts w:ascii="Times New Roman" w:cs="Times New Roman" w:eastAsia="Times New Roman" w:hAnsi="Times New Roman"/>
          <w:sz w:val="14"/>
          <w:szCs w:val="14"/>
          <w:color w:val="auto"/>
        </w:rPr>
        <w:t xml:space="preserve"> Guarantors jointly and severally agree to pay to Administrative Agent and the Lenders, upon demand, all losses and costs and expenses, including attorneys’ fees, that may be incurred by Administrative Agent and the Lenders in attempting to cause the Obligations to be satisfied or in attempting to cause satisfaction of Guarantors’ liability under this Guaranty.</w:t>
      </w:r>
    </w:p>
    <w:p>
      <w:pPr>
        <w:spacing w:after="0" w:line="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12.9 </w:t>
      </w:r>
      <w:r>
        <w:rPr>
          <w:rFonts w:ascii="Times New Roman" w:cs="Times New Roman" w:eastAsia="Times New Roman" w:hAnsi="Times New Roman"/>
          <w:sz w:val="14"/>
          <w:szCs w:val="14"/>
          <w:b w:val="1"/>
          <w:bCs w:val="1"/>
          <w:u w:val="single" w:color="auto"/>
          <w:color w:val="auto"/>
        </w:rPr>
        <w:t>Exercising Rights, Etc</w:t>
      </w:r>
      <w:r>
        <w:rPr>
          <w:rFonts w:ascii="Times New Roman" w:cs="Times New Roman" w:eastAsia="Times New Roman" w:hAnsi="Times New Roman"/>
          <w:sz w:val="14"/>
          <w:szCs w:val="14"/>
          <w:color w:val="auto"/>
        </w:rPr>
        <w:t>. No notice to or demand upon any Guarantor in any case shall, of itself, entitle such Guarantor or any other Guarantor to any other or further notice or demand in similar or other circumstances. No delay or omission by Administrative Agent in exercising any power or right hereunder shall impair such right or power or be construed as a waiver thereof or any acquiescence therein, nor shall any single or partial exercise of any such power preclude other or further exercise thereof, or the exercise of any other right or power hereunder.</w:t>
      </w:r>
    </w:p>
    <w:p>
      <w:pPr>
        <w:spacing w:after="0" w:line="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4"/>
          <w:szCs w:val="14"/>
          <w:color w:val="auto"/>
        </w:rPr>
        <w:t xml:space="preserve">Section 12.10 </w:t>
      </w:r>
      <w:r>
        <w:rPr>
          <w:rFonts w:ascii="Times New Roman" w:cs="Times New Roman" w:eastAsia="Times New Roman" w:hAnsi="Times New Roman"/>
          <w:sz w:val="14"/>
          <w:szCs w:val="14"/>
          <w:b w:val="1"/>
          <w:bCs w:val="1"/>
          <w:color w:val="auto"/>
        </w:rPr>
        <w:t>Benefit; Binding Effect.</w:t>
      </w:r>
      <w:r>
        <w:rPr>
          <w:rFonts w:ascii="Times New Roman" w:cs="Times New Roman" w:eastAsia="Times New Roman" w:hAnsi="Times New Roman"/>
          <w:sz w:val="14"/>
          <w:szCs w:val="14"/>
          <w:color w:val="auto"/>
        </w:rPr>
        <w:t xml:space="preserve"> This Guaranty shall inure to the benefit of Administrative Agent and each other Secured Party and their respective successors and assigns, and to any interest in any of the Obligations. All of the obligations of Guarantors arising hereunder shall be jointly and severally binding on each of the Persons signing this Guaranty, and their respective successors and assigns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Guarantor may, without the prior written consent of Administrative Agent in each instance, assign or delegate any of its rights, powers, duties or obligations hereunder, and any attempted assignment or delegation made without Administrative Agent’s prior written consent shall be void ab initio and of no force or effect).</w:t>
      </w:r>
    </w:p>
    <w:p>
      <w:pPr>
        <w:spacing w:after="0" w:line="2" w:lineRule="exact"/>
        <w:rPr>
          <w:sz w:val="20"/>
          <w:szCs w:val="20"/>
          <w:color w:val="auto"/>
        </w:rPr>
      </w:pPr>
    </w:p>
    <w:p>
      <w:pPr>
        <w:jc w:val="both"/>
        <w:ind w:firstLine="432"/>
        <w:spacing w:after="0" w:line="247" w:lineRule="auto"/>
        <w:rPr>
          <w:sz w:val="20"/>
          <w:szCs w:val="20"/>
          <w:color w:val="auto"/>
        </w:rPr>
      </w:pPr>
      <w:r>
        <w:rPr>
          <w:rFonts w:ascii="Times New Roman" w:cs="Times New Roman" w:eastAsia="Times New Roman" w:hAnsi="Times New Roman"/>
          <w:sz w:val="14"/>
          <w:szCs w:val="14"/>
          <w:color w:val="auto"/>
        </w:rPr>
        <w:t xml:space="preserve">Section 12.11 </w:t>
      </w:r>
      <w:r>
        <w:rPr>
          <w:rFonts w:ascii="Times New Roman" w:cs="Times New Roman" w:eastAsia="Times New Roman" w:hAnsi="Times New Roman"/>
          <w:sz w:val="14"/>
          <w:szCs w:val="14"/>
          <w:b w:val="1"/>
          <w:bCs w:val="1"/>
          <w:color w:val="auto"/>
        </w:rPr>
        <w:t>Multiple Guarantors.</w:t>
      </w:r>
      <w:r>
        <w:rPr>
          <w:rFonts w:ascii="Times New Roman" w:cs="Times New Roman" w:eastAsia="Times New Roman" w:hAnsi="Times New Roman"/>
          <w:sz w:val="14"/>
          <w:szCs w:val="14"/>
          <w:color w:val="auto"/>
        </w:rPr>
        <w:t xml:space="preserve"> It is specifically agreed that Administrative Agent may enforce the provisions hereof with respect to one or more Guarantors without seeking to enforce the same as to all or any Guarantors. If one or more additional guaranty agreements (“</w:t>
      </w:r>
      <w:r>
        <w:rPr>
          <w:rFonts w:ascii="Times New Roman" w:cs="Times New Roman" w:eastAsia="Times New Roman" w:hAnsi="Times New Roman"/>
          <w:sz w:val="14"/>
          <w:szCs w:val="14"/>
          <w:b w:val="1"/>
          <w:bCs w:val="1"/>
          <w:i w:val="1"/>
          <w:iCs w:val="1"/>
          <w:color w:val="auto"/>
        </w:rPr>
        <w:t>Other Guaranties</w:t>
      </w:r>
      <w:r>
        <w:rPr>
          <w:rFonts w:ascii="Times New Roman" w:cs="Times New Roman" w:eastAsia="Times New Roman" w:hAnsi="Times New Roman"/>
          <w:sz w:val="14"/>
          <w:szCs w:val="14"/>
          <w:color w:val="auto"/>
        </w:rPr>
        <w:t>”) are executed by one or more additional guarantors (“</w:t>
      </w:r>
      <w:r>
        <w:rPr>
          <w:rFonts w:ascii="Times New Roman" w:cs="Times New Roman" w:eastAsia="Times New Roman" w:hAnsi="Times New Roman"/>
          <w:sz w:val="14"/>
          <w:szCs w:val="14"/>
          <w:b w:val="1"/>
          <w:bCs w:val="1"/>
          <w:i w:val="1"/>
          <w:iCs w:val="1"/>
          <w:color w:val="auto"/>
        </w:rPr>
        <w:t>Other Guarantors</w:t>
      </w:r>
      <w:r>
        <w:rPr>
          <w:rFonts w:ascii="Times New Roman" w:cs="Times New Roman" w:eastAsia="Times New Roman" w:hAnsi="Times New Roman"/>
          <w:sz w:val="14"/>
          <w:szCs w:val="14"/>
          <w:color w:val="auto"/>
        </w:rPr>
        <w:t>”), which guarantee, in whole or in part, any of the Obligations, it is specifically agreed that Administrative Agent may enforce the provisions of this Guaranty or of the Other Guaranties with respect to one or more of Guarantors or any one or more of Other Guarantors under the Other Guaranties without seeking to enforce the provisions of this Guaranty or the Other Guaranties as to all or any of Guarantors or Other Guarantors. Each Guarantor hereby waives any requirement of joinder of all or any other Guarantor or all or any of the Other Guarantors in any suit or proceeding to enforce the provisions of this Guaranty or of the Other Guaranties. The liability hereunder of all Guarantors hereunder shall be joint and several.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-532130</wp:posOffset>
            </wp:positionV>
            <wp:extent cx="96393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3930" cy="5715"/>
                    </a:xfrm>
                    <a:prstGeom prst="rect">
                      <a:avLst/>
                    </a:prstGeom>
                    <a:noFill/>
                  </pic:spPr>
                </pic:pic>
              </a:graphicData>
            </a:graphic>
          </wp:anchor>
        </w:drawing>
      </w:r>
    </w:p>
    <w:p>
      <w:pPr>
        <w:jc w:val="both"/>
        <w:ind w:firstLine="432"/>
        <w:spacing w:after="0" w:line="250" w:lineRule="auto"/>
        <w:rPr>
          <w:sz w:val="20"/>
          <w:szCs w:val="20"/>
          <w:color w:val="auto"/>
        </w:rPr>
      </w:pPr>
      <w:r>
        <w:rPr>
          <w:rFonts w:ascii="Times New Roman" w:cs="Times New Roman" w:eastAsia="Times New Roman" w:hAnsi="Times New Roman"/>
          <w:sz w:val="14"/>
          <w:szCs w:val="14"/>
          <w:color w:val="auto"/>
        </w:rPr>
        <w:t xml:space="preserve">Section 12.12 </w:t>
      </w:r>
      <w:r>
        <w:rPr>
          <w:rFonts w:ascii="Times New Roman" w:cs="Times New Roman" w:eastAsia="Times New Roman" w:hAnsi="Times New Roman"/>
          <w:sz w:val="14"/>
          <w:szCs w:val="14"/>
          <w:b w:val="1"/>
          <w:bCs w:val="1"/>
          <w:u w:val="single" w:color="auto"/>
          <w:color w:val="auto"/>
        </w:rPr>
        <w:t>Additional Guarantors.</w:t>
      </w:r>
      <w:r>
        <w:rPr>
          <w:rFonts w:ascii="Times New Roman" w:cs="Times New Roman" w:eastAsia="Times New Roman" w:hAnsi="Times New Roman"/>
          <w:sz w:val="14"/>
          <w:szCs w:val="14"/>
          <w:color w:val="auto"/>
        </w:rPr>
        <w:t xml:space="preserve"> From time to time subsequent to the date hereof, additional Persons may become parties hereto as additional Guarantors (each, an “</w:t>
      </w:r>
      <w:r>
        <w:rPr>
          <w:rFonts w:ascii="Times New Roman" w:cs="Times New Roman" w:eastAsia="Times New Roman" w:hAnsi="Times New Roman"/>
          <w:sz w:val="14"/>
          <w:szCs w:val="14"/>
          <w:b w:val="1"/>
          <w:bCs w:val="1"/>
          <w:i w:val="1"/>
          <w:iCs w:val="1"/>
          <w:color w:val="auto"/>
        </w:rPr>
        <w:t>Additional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Guarantor</w:t>
      </w:r>
      <w:r>
        <w:rPr>
          <w:rFonts w:ascii="Times New Roman" w:cs="Times New Roman" w:eastAsia="Times New Roman" w:hAnsi="Times New Roman"/>
          <w:sz w:val="14"/>
          <w:szCs w:val="14"/>
          <w:color w:val="auto"/>
        </w:rPr>
        <w:t>”), by executing a Joinder Agreement. Upon delivery of any such Joinder Agreement to Administrative Agent, notice of which is hereby waived by Guarantors, each Additional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Guarantor shall be a Guarantor and shall be as fully a party hereto as if Additional Guarantor were an original signatory hereto. Each Guarantor expressly agrees that its obligations arising hereunder shall not be affected or diminished by the addition or release of any other Guarantor hereunder, nor by any election of Administrative Agent not to cause any Subsidiary or Affiliate of Holdings to become an Additional Guarantor hereunder. This Guaranty shall be fully effective as to any Guarantor that is or becomes a party hereto regardless of whether any other Person becomes or fails to become or ceases to be a Guarantor hereunder.</w:t>
      </w:r>
    </w:p>
    <w:p>
      <w:pPr>
        <w:spacing w:after="0" w:line="2"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4"/>
          <w:szCs w:val="14"/>
          <w:color w:val="auto"/>
        </w:rPr>
        <w:t xml:space="preserve">Section 12.13 </w:t>
      </w:r>
      <w:r>
        <w:rPr>
          <w:rFonts w:ascii="Times New Roman" w:cs="Times New Roman" w:eastAsia="Times New Roman" w:hAnsi="Times New Roman"/>
          <w:sz w:val="14"/>
          <w:szCs w:val="14"/>
          <w:b w:val="1"/>
          <w:bCs w:val="1"/>
          <w:u w:val="single" w:color="auto"/>
          <w:color w:val="auto"/>
        </w:rPr>
        <w:t>Reinstatement.</w:t>
      </w:r>
      <w:r>
        <w:rPr>
          <w:rFonts w:ascii="Times New Roman" w:cs="Times New Roman" w:eastAsia="Times New Roman" w:hAnsi="Times New Roman"/>
          <w:sz w:val="14"/>
          <w:szCs w:val="14"/>
          <w:color w:val="auto"/>
        </w:rPr>
        <w:t xml:space="preserve"> Notwithstanding anything contained in this Agreement or the other Loan Documents, the obligations of each Guarantor under this </w:t>
      </w:r>
      <w:r>
        <w:rPr>
          <w:rFonts w:ascii="Times New Roman" w:cs="Times New Roman" w:eastAsia="Times New Roman" w:hAnsi="Times New Roman"/>
          <w:sz w:val="14"/>
          <w:szCs w:val="14"/>
          <w:b w:val="1"/>
          <w:bCs w:val="1"/>
          <w:i w:val="1"/>
          <w:iCs w:val="1"/>
          <w:color w:val="auto"/>
        </w:rPr>
        <w:t>Article 12</w:t>
      </w:r>
      <w:r>
        <w:rPr>
          <w:rFonts w:ascii="Times New Roman" w:cs="Times New Roman" w:eastAsia="Times New Roman" w:hAnsi="Times New Roman"/>
          <w:sz w:val="14"/>
          <w:szCs w:val="14"/>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proceedings in bankruptcy or reorganization or otherwise, and each Guarantor agrees that it will indemnify each Secured Party on demand for all reasonable costs and expenses (including, without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151</w:t>
      </w:r>
    </w:p>
    <w:p>
      <w:pPr>
        <w:sectPr>
          <w:pgSz w:w="11900" w:h="16838" w:orient="portrait"/>
          <w:cols w:equalWidth="0" w:num="1">
            <w:col w:w="11300"/>
          </w:cols>
          <w:pgMar w:left="300" w:top="287" w:right="29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2"/>
          <w:szCs w:val="12"/>
          <w:b w:val="1"/>
          <w:bCs w:val="1"/>
          <w:color w:val="auto"/>
        </w:rPr>
        <w:t>Exhibit 10.1</w:t>
      </w: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limitation, reasonable fees of counsel) incurred by such Person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1"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4"/>
          <w:szCs w:val="14"/>
          <w:color w:val="auto"/>
        </w:rPr>
        <w:t xml:space="preserve">Section 12.14 </w:t>
      </w:r>
      <w:r>
        <w:rPr>
          <w:rFonts w:ascii="Times New Roman" w:cs="Times New Roman" w:eastAsia="Times New Roman" w:hAnsi="Times New Roman"/>
          <w:sz w:val="14"/>
          <w:szCs w:val="14"/>
          <w:b w:val="1"/>
          <w:bCs w:val="1"/>
          <w:u w:val="single" w:color="auto"/>
          <w:color w:val="auto"/>
        </w:rPr>
        <w:t>Maximum Liability.</w:t>
      </w:r>
      <w:r>
        <w:rPr>
          <w:rFonts w:ascii="Times New Roman" w:cs="Times New Roman" w:eastAsia="Times New Roman" w:hAnsi="Times New Roman"/>
          <w:sz w:val="14"/>
          <w:szCs w:val="14"/>
          <w:color w:val="auto"/>
        </w:rPr>
        <w:t xml:space="preserve"> Anything in this Guaranty to the contrary notwithstanding, the obligations of each Guarantor hereunder shall be limited to a maximum aggregate amount equal to the largest amount that would not render its obligations hereunder subject to avoidance as a fraudulent transfer or conveyance under Section 548 of Title 11 of the United States Code or any applicable provisions of comparable Law (collectively, the “</w:t>
      </w:r>
      <w:r>
        <w:rPr>
          <w:rFonts w:ascii="Times New Roman" w:cs="Times New Roman" w:eastAsia="Times New Roman" w:hAnsi="Times New Roman"/>
          <w:sz w:val="14"/>
          <w:szCs w:val="14"/>
          <w:b w:val="1"/>
          <w:bCs w:val="1"/>
          <w:i w:val="1"/>
          <w:iCs w:val="1"/>
          <w:color w:val="auto"/>
        </w:rPr>
        <w:t>Fraudulent Transfer Laws</w:t>
      </w:r>
      <w:r>
        <w:rPr>
          <w:rFonts w:ascii="Times New Roman" w:cs="Times New Roman" w:eastAsia="Times New Roman" w:hAnsi="Times New Roman"/>
          <w:sz w:val="14"/>
          <w:szCs w:val="14"/>
          <w:color w:val="auto"/>
        </w:rPr>
        <w:t xml:space="preserve">”), in each case after giving effect to all other liabilities of such Guarantor, contingent or otherwise, that are relevant under the Fraudulent Transfer Laws (specifically excluding, however, any liabilities of such Guarantor in respect of intercompany indebtedness to other Loan Parties or Affiliates of other Loan Parties to the extent that such indebtedness would be discharged in an amount equal to the amount paid or Property conveyed by such Guarantor under the Loan Documents) and after giving effect as assets, subject to </w:t>
      </w:r>
      <w:r>
        <w:rPr>
          <w:rFonts w:ascii="Times New Roman" w:cs="Times New Roman" w:eastAsia="Times New Roman" w:hAnsi="Times New Roman"/>
          <w:sz w:val="14"/>
          <w:szCs w:val="14"/>
          <w:b w:val="1"/>
          <w:bCs w:val="1"/>
          <w:i w:val="1"/>
          <w:iCs w:val="1"/>
          <w:color w:val="auto"/>
        </w:rPr>
        <w:t>Section 12.6</w:t>
      </w:r>
      <w:r>
        <w:rPr>
          <w:rFonts w:ascii="Times New Roman" w:cs="Times New Roman" w:eastAsia="Times New Roman" w:hAnsi="Times New Roman"/>
          <w:sz w:val="14"/>
          <w:szCs w:val="14"/>
          <w:color w:val="auto"/>
        </w:rPr>
        <w:t>, to the value (as determined under the applicable provisions of the Fraudulent Transfer Laws) of any rights to subrogation or contribution of such Guarantor pursuant to (a) applicable Law or (b) any agreement providing for an equitable allocation among such Guarantor and other Loan Parties of obligations arising under the Loan Documents and Bank Product Agreements.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152</w:t>
      </w:r>
    </w:p>
    <w:p>
      <w:pPr>
        <w:sectPr>
          <w:pgSz w:w="11900" w:h="16838" w:orient="portrait"/>
          <w:cols w:equalWidth="0" w:num="1">
            <w:col w:w="11300"/>
          </w:cols>
          <w:pgMar w:left="300" w:top="287" w:right="29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Natural Gas Services Group Acquires Flatrock Compression</w:t>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June 15, 2026</w:t>
      </w:r>
    </w:p>
    <w:p>
      <w:pPr>
        <w:spacing w:after="0" w:line="163" w:lineRule="exact"/>
        <w:rPr>
          <w:sz w:val="20"/>
          <w:szCs w:val="20"/>
          <w:color w:val="auto"/>
        </w:rPr>
      </w:pPr>
    </w:p>
    <w:p>
      <w:pPr>
        <w:ind w:left="420" w:hanging="212"/>
        <w:spacing w:after="0"/>
        <w:tabs>
          <w:tab w:leader="none" w:pos="42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$120 million cash and stock acquisition is immediately and materially accretive</w:t>
      </w:r>
    </w:p>
    <w:p>
      <w:pPr>
        <w:spacing w:after="0" w:line="15" w:lineRule="exact"/>
        <w:rPr>
          <w:rFonts w:ascii="Arial" w:cs="Arial" w:eastAsia="Arial" w:hAnsi="Arial"/>
          <w:sz w:val="14"/>
          <w:szCs w:val="14"/>
          <w:color w:val="auto"/>
        </w:rPr>
      </w:pPr>
    </w:p>
    <w:p>
      <w:pPr>
        <w:ind w:left="400" w:hanging="192"/>
        <w:spacing w:after="0"/>
        <w:tabs>
          <w:tab w:leader="none" w:pos="40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Diversifies NGS's customer mix while adding multiple new large customers</w:t>
      </w:r>
    </w:p>
    <w:p>
      <w:pPr>
        <w:spacing w:after="0" w:line="1" w:lineRule="exact"/>
        <w:rPr>
          <w:rFonts w:ascii="Arial" w:cs="Arial" w:eastAsia="Arial" w:hAnsi="Arial"/>
          <w:sz w:val="14"/>
          <w:szCs w:val="14"/>
          <w:color w:val="auto"/>
        </w:rPr>
      </w:pPr>
    </w:p>
    <w:p>
      <w:pPr>
        <w:ind w:left="400" w:hanging="192"/>
        <w:spacing w:after="0"/>
        <w:tabs>
          <w:tab w:leader="none" w:pos="40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Strategic acquisition deepens NGS’s operational footprint across the Permian Basin and Eagle Ford</w:t>
      </w:r>
    </w:p>
    <w:p>
      <w:pPr>
        <w:spacing w:after="0" w:line="1" w:lineRule="exact"/>
        <w:rPr>
          <w:rFonts w:ascii="Arial" w:cs="Arial" w:eastAsia="Arial" w:hAnsi="Arial"/>
          <w:sz w:val="14"/>
          <w:szCs w:val="14"/>
          <w:color w:val="auto"/>
        </w:rPr>
      </w:pPr>
    </w:p>
    <w:p>
      <w:pPr>
        <w:ind w:left="400" w:hanging="192"/>
        <w:spacing w:after="0" w:line="228" w:lineRule="auto"/>
        <w:tabs>
          <w:tab w:leader="none" w:pos="40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Significantly expands the Company’s large horsepower and electric motor driven compression solutions</w:t>
      </w:r>
    </w:p>
    <w:p>
      <w:pPr>
        <w:ind w:left="400" w:hanging="192"/>
        <w:spacing w:after="0"/>
        <w:tabs>
          <w:tab w:leader="none" w:pos="40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Existing credit facility increased to $500 million in conjunction with acquisition</w:t>
      </w:r>
    </w:p>
    <w:p>
      <w:pPr>
        <w:spacing w:after="0" w:line="1" w:lineRule="exact"/>
        <w:rPr>
          <w:rFonts w:ascii="Arial" w:cs="Arial" w:eastAsia="Arial" w:hAnsi="Arial"/>
          <w:sz w:val="14"/>
          <w:szCs w:val="14"/>
          <w:color w:val="auto"/>
        </w:rPr>
      </w:pPr>
    </w:p>
    <w:p>
      <w:pPr>
        <w:ind w:left="400" w:hanging="192"/>
        <w:spacing w:after="0"/>
        <w:tabs>
          <w:tab w:leader="none" w:pos="40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NGS to host a conference call on Monday, June 15, 2026, at 10:00 a.m. Eastern Time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SOUTHLAKE, Texas, June 15, 2026 (GLOBE NEWSWIRE) -- Natural Gas Services Group, Inc. ("NGS" or the "Company") (NYSE: NGS), a leading provider of natural gas compression equipment, technology, and services to the energy industry, today announced that it has acquired Flatrock Compression Holdings ("Flatrock") for $120 million of consideration consisting of $110 million in cash and $10 million of newly issued NGS common stock.</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Flatrock is a leading provider of rental compression services with operations in the Permian Basin and Eagle Ford. Founded in 2001, Flatrock has a current rented fleet of approximately 86,000 horsepower with a significant majority consisting of large horsepower units and electric motor driven units. Overall, the Flatrock fleet is currently 95% utilized by horsepower.</w:t>
      </w:r>
    </w:p>
    <w:p>
      <w:pPr>
        <w:spacing w:after="0" w:line="1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"This acquisition represents an important strategic step for NGS," said Justin Jacobs, Chief Executive Officer of NGS. "Flatrock has built a high-quality compression business with a strong reputation for field execution, operational excellence, and customer service. The company has assembled an attractive compression fleet, which has grown organically at comparable rates to NGS. "</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"This acquisition increases our operational density in both the Permian Basin and Eagle Ford, adds meaningful customer diversification and attractive opportunities for growth with several new large customers, and complements our fleet with the addition of significant large horsepower and electric motor units. Just as importantly, Flatrock's culture aligns closely with ours, as both organizations are committed to safety, operational excellence, and delivering innovative and reliable compression solutions to customers. This is not only a strategic transaction, but also a highly attractive financial acquisition as the purchase price represents an approximate 6.2x Adjusted EBITDA multiple and it is immediately accretive to key financial metrics."</w:t>
      </w:r>
    </w:p>
    <w:p>
      <w:pPr>
        <w:spacing w:after="0" w:line="12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 would like to welcome all the employees of Flatrock to NGS—together, we will continue to grow faster than our competitors and lead the industry in technology and innovation. I would also like to thank all the employees of NGS for their hard work and dedication as well as our lending partners, both existing and new, who helped facilitate this transaction.”</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B.J. Ellis, Chief Executive Officer of Flatrock, said, "We are proud of the business our team has built and the reputation we have earned with our customers over many years. Our success has been driven by great people, operational discipline, technical expertise, and a relentless focus on customer service. After evaluating the opportunities available to our company, we believe NGS is the right partner to build upon that foundation. The combined organization will have greater scale, expanded capabilities, and additional growth opportunities for both our employees and customers. We are excited to join the NGS team and help drive the next phase of growth."</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287" w:right="29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
        <w:spacing w:after="0"/>
        <w:rPr>
          <w:sz w:val="20"/>
          <w:szCs w:val="20"/>
          <w:color w:val="auto"/>
        </w:rPr>
      </w:pPr>
      <w:r>
        <w:rPr>
          <w:rFonts w:ascii="Arial" w:cs="Arial" w:eastAsia="Arial" w:hAnsi="Arial"/>
          <w:sz w:val="14"/>
          <w:szCs w:val="14"/>
          <w:b w:val="1"/>
          <w:bCs w:val="1"/>
          <w:u w:val="single" w:color="auto"/>
          <w:color w:val="auto"/>
        </w:rPr>
        <w:t>Compelling Strategic and Financial Acquisition</w:t>
      </w:r>
    </w:p>
    <w:p>
      <w:pPr>
        <w:spacing w:after="0" w:line="163" w:lineRule="exact"/>
        <w:rPr>
          <w:sz w:val="20"/>
          <w:szCs w:val="20"/>
          <w:color w:val="auto"/>
        </w:rPr>
      </w:pPr>
    </w:p>
    <w:p>
      <w:pPr>
        <w:ind w:left="428" w:hanging="212"/>
        <w:spacing w:after="0"/>
        <w:tabs>
          <w:tab w:leader="none" w:pos="428" w:val="left"/>
        </w:tabs>
        <w:numPr>
          <w:ilvl w:val="0"/>
          <w:numId w:val="223"/>
        </w:numPr>
        <w:rPr>
          <w:rFonts w:ascii="Arial" w:cs="Arial" w:eastAsia="Arial" w:hAnsi="Arial"/>
          <w:sz w:val="14"/>
          <w:szCs w:val="14"/>
          <w:color w:val="auto"/>
        </w:rPr>
      </w:pPr>
      <w:r>
        <w:rPr>
          <w:rFonts w:ascii="Arial" w:cs="Arial" w:eastAsia="Arial" w:hAnsi="Arial"/>
          <w:sz w:val="14"/>
          <w:szCs w:val="14"/>
          <w:color w:val="auto"/>
        </w:rPr>
        <w:t>Adds a high-quality rental compression business with strong field operations and an established reputation for customer service.</w:t>
      </w:r>
    </w:p>
    <w:p>
      <w:pPr>
        <w:spacing w:after="0" w:line="15" w:lineRule="exact"/>
        <w:rPr>
          <w:rFonts w:ascii="Arial" w:cs="Arial" w:eastAsia="Arial" w:hAnsi="Arial"/>
          <w:sz w:val="14"/>
          <w:szCs w:val="14"/>
          <w:color w:val="auto"/>
        </w:rPr>
      </w:pPr>
    </w:p>
    <w:p>
      <w:pPr>
        <w:ind w:left="408" w:hanging="192"/>
        <w:spacing w:after="0"/>
        <w:tabs>
          <w:tab w:leader="none" w:pos="408" w:val="left"/>
        </w:tabs>
        <w:numPr>
          <w:ilvl w:val="0"/>
          <w:numId w:val="223"/>
        </w:numPr>
        <w:rPr>
          <w:rFonts w:ascii="Arial" w:cs="Arial" w:eastAsia="Arial" w:hAnsi="Arial"/>
          <w:sz w:val="14"/>
          <w:szCs w:val="14"/>
          <w:color w:val="auto"/>
        </w:rPr>
      </w:pPr>
      <w:r>
        <w:rPr>
          <w:rFonts w:ascii="Arial" w:cs="Arial" w:eastAsia="Arial" w:hAnsi="Arial"/>
          <w:sz w:val="14"/>
          <w:szCs w:val="14"/>
          <w:color w:val="auto"/>
        </w:rPr>
        <w:t>Diversifies NGS's customer base while adding multiple new large customers.</w:t>
      </w:r>
    </w:p>
    <w:p>
      <w:pPr>
        <w:spacing w:after="0" w:line="1" w:lineRule="exact"/>
        <w:rPr>
          <w:rFonts w:ascii="Arial" w:cs="Arial" w:eastAsia="Arial" w:hAnsi="Arial"/>
          <w:sz w:val="14"/>
          <w:szCs w:val="14"/>
          <w:color w:val="auto"/>
        </w:rPr>
      </w:pPr>
    </w:p>
    <w:p>
      <w:pPr>
        <w:ind w:left="408" w:hanging="192"/>
        <w:spacing w:after="0"/>
        <w:tabs>
          <w:tab w:leader="none" w:pos="408" w:val="left"/>
        </w:tabs>
        <w:numPr>
          <w:ilvl w:val="0"/>
          <w:numId w:val="223"/>
        </w:numPr>
        <w:rPr>
          <w:rFonts w:ascii="Arial" w:cs="Arial" w:eastAsia="Arial" w:hAnsi="Arial"/>
          <w:sz w:val="14"/>
          <w:szCs w:val="14"/>
          <w:color w:val="auto"/>
        </w:rPr>
      </w:pPr>
      <w:r>
        <w:rPr>
          <w:rFonts w:ascii="Arial" w:cs="Arial" w:eastAsia="Arial" w:hAnsi="Arial"/>
          <w:sz w:val="14"/>
          <w:szCs w:val="14"/>
          <w:color w:val="auto"/>
        </w:rPr>
        <w:t>Increases operational density in the Permian Basin and Eagle Ford, enhancing service capabilities and operational efficiency.</w:t>
      </w:r>
    </w:p>
    <w:p>
      <w:pPr>
        <w:spacing w:after="0" w:line="1" w:lineRule="exact"/>
        <w:rPr>
          <w:rFonts w:ascii="Arial" w:cs="Arial" w:eastAsia="Arial" w:hAnsi="Arial"/>
          <w:sz w:val="14"/>
          <w:szCs w:val="14"/>
          <w:color w:val="auto"/>
        </w:rPr>
      </w:pPr>
    </w:p>
    <w:p>
      <w:pPr>
        <w:ind w:left="408" w:hanging="192"/>
        <w:spacing w:after="0"/>
        <w:tabs>
          <w:tab w:leader="none" w:pos="408" w:val="left"/>
        </w:tabs>
        <w:numPr>
          <w:ilvl w:val="0"/>
          <w:numId w:val="223"/>
        </w:numPr>
        <w:rPr>
          <w:rFonts w:ascii="Arial" w:cs="Arial" w:eastAsia="Arial" w:hAnsi="Arial"/>
          <w:sz w:val="14"/>
          <w:szCs w:val="14"/>
          <w:color w:val="auto"/>
        </w:rPr>
      </w:pPr>
      <w:r>
        <w:rPr>
          <w:rFonts w:ascii="Arial" w:cs="Arial" w:eastAsia="Arial" w:hAnsi="Arial"/>
          <w:sz w:val="14"/>
          <w:szCs w:val="14"/>
          <w:color w:val="auto"/>
        </w:rPr>
        <w:t>Adds a business with organic growth characteristics similar to NGS.</w:t>
      </w:r>
    </w:p>
    <w:p>
      <w:pPr>
        <w:spacing w:after="0" w:line="1" w:lineRule="exact"/>
        <w:rPr>
          <w:rFonts w:ascii="Arial" w:cs="Arial" w:eastAsia="Arial" w:hAnsi="Arial"/>
          <w:sz w:val="14"/>
          <w:szCs w:val="14"/>
          <w:color w:val="auto"/>
        </w:rPr>
      </w:pPr>
    </w:p>
    <w:p>
      <w:pPr>
        <w:ind w:left="408" w:hanging="192"/>
        <w:spacing w:after="0" w:line="228" w:lineRule="auto"/>
        <w:tabs>
          <w:tab w:leader="none" w:pos="408" w:val="left"/>
        </w:tabs>
        <w:numPr>
          <w:ilvl w:val="0"/>
          <w:numId w:val="223"/>
        </w:numPr>
        <w:rPr>
          <w:rFonts w:ascii="Arial" w:cs="Arial" w:eastAsia="Arial" w:hAnsi="Arial"/>
          <w:sz w:val="14"/>
          <w:szCs w:val="14"/>
          <w:color w:val="auto"/>
        </w:rPr>
      </w:pPr>
      <w:r>
        <w:rPr>
          <w:rFonts w:ascii="Arial" w:cs="Arial" w:eastAsia="Arial" w:hAnsi="Arial"/>
          <w:sz w:val="14"/>
          <w:szCs w:val="14"/>
          <w:color w:val="auto"/>
        </w:rPr>
        <w:t>Combines highly complementary fleets with similar mix of horsepower size, models, and key components including engine type and compressor type.</w:t>
      </w:r>
    </w:p>
    <w:p>
      <w:pPr>
        <w:ind w:left="408" w:hanging="192"/>
        <w:spacing w:after="0"/>
        <w:tabs>
          <w:tab w:leader="none" w:pos="408" w:val="left"/>
        </w:tabs>
        <w:numPr>
          <w:ilvl w:val="0"/>
          <w:numId w:val="223"/>
        </w:numPr>
        <w:rPr>
          <w:rFonts w:ascii="Arial" w:cs="Arial" w:eastAsia="Arial" w:hAnsi="Arial"/>
          <w:sz w:val="14"/>
          <w:szCs w:val="14"/>
          <w:color w:val="auto"/>
        </w:rPr>
      </w:pPr>
      <w:r>
        <w:rPr>
          <w:rFonts w:ascii="Arial" w:cs="Arial" w:eastAsia="Arial" w:hAnsi="Arial"/>
          <w:sz w:val="14"/>
          <w:szCs w:val="14"/>
          <w:color w:val="auto"/>
        </w:rPr>
        <w:t>Attractive acquisition multiple of 6.2x first quarter 2026 Annualized Adjusted EBITDA (pre-synergies)</w:t>
      </w:r>
      <w:r>
        <w:rPr>
          <w:rFonts w:ascii="Arial" w:cs="Arial" w:eastAsia="Arial" w:hAnsi="Arial"/>
          <w:sz w:val="7"/>
          <w:szCs w:val="7"/>
          <w:color w:val="auto"/>
        </w:rPr>
        <w:t>1</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408" w:hanging="192"/>
        <w:spacing w:after="0"/>
        <w:tabs>
          <w:tab w:leader="none" w:pos="408" w:val="left"/>
        </w:tabs>
        <w:numPr>
          <w:ilvl w:val="0"/>
          <w:numId w:val="223"/>
        </w:numPr>
        <w:rPr>
          <w:rFonts w:ascii="Arial" w:cs="Arial" w:eastAsia="Arial" w:hAnsi="Arial"/>
          <w:sz w:val="14"/>
          <w:szCs w:val="14"/>
          <w:color w:val="auto"/>
        </w:rPr>
      </w:pPr>
      <w:r>
        <w:rPr>
          <w:rFonts w:ascii="Arial" w:cs="Arial" w:eastAsia="Arial" w:hAnsi="Arial"/>
          <w:sz w:val="14"/>
          <w:szCs w:val="14"/>
          <w:color w:val="auto"/>
        </w:rPr>
        <w:t>Highly accretive across key financial metrics and supportive of shareholder value creation.</w:t>
      </w:r>
    </w:p>
    <w:p>
      <w:pPr>
        <w:spacing w:after="0" w:line="1" w:lineRule="exact"/>
        <w:rPr>
          <w:rFonts w:ascii="Arial" w:cs="Arial" w:eastAsia="Arial" w:hAnsi="Arial"/>
          <w:sz w:val="14"/>
          <w:szCs w:val="14"/>
          <w:color w:val="auto"/>
        </w:rPr>
      </w:pPr>
    </w:p>
    <w:p>
      <w:pPr>
        <w:ind w:left="408" w:hanging="192"/>
        <w:spacing w:after="0"/>
        <w:tabs>
          <w:tab w:leader="none" w:pos="408" w:val="left"/>
        </w:tabs>
        <w:numPr>
          <w:ilvl w:val="0"/>
          <w:numId w:val="223"/>
        </w:numPr>
        <w:rPr>
          <w:rFonts w:ascii="Arial" w:cs="Arial" w:eastAsia="Arial" w:hAnsi="Arial"/>
          <w:sz w:val="14"/>
          <w:szCs w:val="14"/>
          <w:color w:val="auto"/>
        </w:rPr>
      </w:pPr>
      <w:r>
        <w:rPr>
          <w:rFonts w:ascii="Arial" w:cs="Arial" w:eastAsia="Arial" w:hAnsi="Arial"/>
          <w:sz w:val="14"/>
          <w:szCs w:val="14"/>
          <w:color w:val="auto"/>
        </w:rPr>
        <w:t>NGS remains prudently leveraged with pro forma leverage ratio of approximately 3x.</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4"/>
          <w:szCs w:val="14"/>
          <w:b w:val="1"/>
          <w:bCs w:val="1"/>
          <w:u w:val="single" w:color="auto"/>
          <w:color w:val="auto"/>
        </w:rPr>
        <w:t>Expanded Credit Facility</w:t>
      </w:r>
    </w:p>
    <w:p>
      <w:pPr>
        <w:spacing w:after="0" w:line="163" w:lineRule="exact"/>
        <w:rPr>
          <w:sz w:val="20"/>
          <w:szCs w:val="20"/>
          <w:color w:val="auto"/>
        </w:rPr>
      </w:pPr>
    </w:p>
    <w:p>
      <w:pPr>
        <w:jc w:val="both"/>
        <w:ind w:left="8"/>
        <w:spacing w:after="0" w:line="263" w:lineRule="auto"/>
        <w:rPr>
          <w:sz w:val="20"/>
          <w:szCs w:val="20"/>
          <w:color w:val="auto"/>
        </w:rPr>
      </w:pPr>
      <w:r>
        <w:rPr>
          <w:rFonts w:ascii="Arial" w:cs="Arial" w:eastAsia="Arial" w:hAnsi="Arial"/>
          <w:sz w:val="14"/>
          <w:szCs w:val="14"/>
          <w:color w:val="auto"/>
        </w:rPr>
        <w:t>In connection with the transaction, NGS entered into the Fifth Amendment to its existing credit agreement, which increased the Company’s committed credit facility from $400 million to $500 million while retaining the $100 million accordion feature that, subject to lender approval and collateral availability, can be used to increase the maximum commitment to $600 million. Following the transaction, the Company remains well-positioned with meaningful liquidity under its expanded credit facility.</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4"/>
          <w:szCs w:val="14"/>
          <w:b w:val="1"/>
          <w:bCs w:val="1"/>
          <w:u w:val="single" w:color="auto"/>
          <w:color w:val="auto"/>
        </w:rPr>
        <w:t>Conference Call Details</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NGS will host a conference call on Monday, June 15, 2026, at 10:00 a.m. Eastern Time to discuss the transaction and review the investor presentation released in the Form 8-K.</w:t>
      </w:r>
    </w:p>
    <w:p>
      <w:pPr>
        <w:spacing w:after="0" w:line="163" w:lineRule="exact"/>
        <w:rPr>
          <w:sz w:val="20"/>
          <w:szCs w:val="20"/>
          <w:color w:val="auto"/>
        </w:rPr>
      </w:pPr>
    </w:p>
    <w:p>
      <w:pPr>
        <w:jc w:val="both"/>
        <w:ind w:left="8"/>
        <w:spacing w:after="0" w:line="285" w:lineRule="auto"/>
        <w:rPr>
          <w:sz w:val="20"/>
          <w:szCs w:val="20"/>
          <w:color w:val="auto"/>
        </w:rPr>
      </w:pPr>
      <w:r>
        <w:rPr>
          <w:rFonts w:ascii="Arial" w:cs="Arial" w:eastAsia="Arial" w:hAnsi="Arial"/>
          <w:sz w:val="14"/>
          <w:szCs w:val="14"/>
          <w:color w:val="auto"/>
        </w:rPr>
        <w:t>To listen to the call via webcast, please visit the Investor Relations section of the Company's website at www.ngsgi.com. Participants may also join by telephone by dialing (800) 550-9745 and entering conference ID: 167298. A replay of the conference call will be available on the Company's website following the event.</w:t>
      </w:r>
    </w:p>
    <w:p>
      <w:pPr>
        <w:spacing w:after="0" w:line="95" w:lineRule="exact"/>
        <w:rPr>
          <w:sz w:val="20"/>
          <w:szCs w:val="20"/>
          <w:color w:val="auto"/>
        </w:rPr>
      </w:pPr>
    </w:p>
    <w:p>
      <w:pPr>
        <w:ind w:left="8" w:right="20" w:hanging="8"/>
        <w:spacing w:after="0" w:line="285" w:lineRule="auto"/>
        <w:tabs>
          <w:tab w:leader="none" w:pos="248" w:val="left"/>
        </w:tabs>
        <w:numPr>
          <w:ilvl w:val="0"/>
          <w:numId w:val="224"/>
        </w:numPr>
        <w:rPr>
          <w:rFonts w:ascii="Arial" w:cs="Arial" w:eastAsia="Arial" w:hAnsi="Arial"/>
          <w:sz w:val="14"/>
          <w:szCs w:val="14"/>
          <w:color w:val="auto"/>
        </w:rPr>
      </w:pPr>
      <w:r>
        <w:rPr>
          <w:rFonts w:ascii="Arial" w:cs="Arial" w:eastAsia="Arial" w:hAnsi="Arial"/>
          <w:sz w:val="14"/>
          <w:szCs w:val="14"/>
          <w:color w:val="auto"/>
        </w:rPr>
        <w:t>Represents NGS management forecasted last quarter annualized (“LQA”) Adjusted EBITDA of Flatrock at March 31, 2026, based on financial information provided by Flatrock and excluding expected synergies. Adjusted EBITDA is a non-GAAP financial measure. Please see below under “Supplemental Non-GAAP Financial Measures.”</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Advisors</w:t>
      </w:r>
    </w:p>
    <w:p>
      <w:pPr>
        <w:spacing w:after="0" w:line="163" w:lineRule="exact"/>
        <w:rPr>
          <w:sz w:val="20"/>
          <w:szCs w:val="20"/>
          <w:color w:val="auto"/>
        </w:rPr>
      </w:pPr>
    </w:p>
    <w:p>
      <w:pPr>
        <w:jc w:val="both"/>
        <w:ind w:left="8"/>
        <w:spacing w:after="0" w:line="285" w:lineRule="auto"/>
        <w:rPr>
          <w:sz w:val="20"/>
          <w:szCs w:val="20"/>
          <w:color w:val="auto"/>
        </w:rPr>
      </w:pPr>
      <w:r>
        <w:rPr>
          <w:rFonts w:ascii="Arial" w:cs="Arial" w:eastAsia="Arial" w:hAnsi="Arial"/>
          <w:sz w:val="14"/>
          <w:szCs w:val="14"/>
          <w:color w:val="auto"/>
        </w:rPr>
        <w:t>Gibson, Dunn &amp; Crutcher LLP served as legal advisor and Intrepid Partners, LLC served as financial advisor to NGS. Carol Burke of CBurke Legal PLLC and Nelson Mullins Riley &amp; Scarborough LLP served as legal advisors and Amy Nelson of Greenridge Advisors, LLC served as financial advisor to Flatrock.</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About Natural Gas Services Group, Inc.</w:t>
      </w:r>
    </w:p>
    <w:p>
      <w:pPr>
        <w:spacing w:after="0" w:line="163" w:lineRule="exact"/>
        <w:rPr>
          <w:sz w:val="20"/>
          <w:szCs w:val="20"/>
          <w:color w:val="auto"/>
        </w:rPr>
      </w:pPr>
    </w:p>
    <w:p>
      <w:pPr>
        <w:jc w:val="both"/>
        <w:ind w:left="8"/>
        <w:spacing w:after="0" w:line="263" w:lineRule="auto"/>
        <w:rPr>
          <w:sz w:val="20"/>
          <w:szCs w:val="20"/>
          <w:color w:val="auto"/>
        </w:rPr>
      </w:pPr>
      <w:r>
        <w:rPr>
          <w:rFonts w:ascii="Arial" w:cs="Arial" w:eastAsia="Arial" w:hAnsi="Arial"/>
          <w:sz w:val="14"/>
          <w:szCs w:val="14"/>
          <w:color w:val="auto"/>
        </w:rPr>
        <w:t>Natural Gas Services Group is a leading provider of natural gas and electric compression equipment, technology and services to the energy industry. The Company rents, designs, installs, services and maintains natural gas and electric compressors for oil and natural gas production and processing facilities and midstream infrastructure. NGS is headquartered in Southlake, Texas, with an administrative office in</w:t>
      </w:r>
    </w:p>
    <w:p>
      <w:pPr>
        <w:spacing w:after="0" w:line="36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8"/>
          </w:cols>
          <w:pgMar w:left="292" w:top="287" w:right="29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60"/>
        <w:spacing w:after="0" w:line="489" w:lineRule="auto"/>
        <w:rPr>
          <w:sz w:val="20"/>
          <w:szCs w:val="20"/>
          <w:color w:val="auto"/>
        </w:rPr>
      </w:pPr>
      <w:r>
        <w:rPr>
          <w:rFonts w:ascii="Arial" w:cs="Arial" w:eastAsia="Arial" w:hAnsi="Arial"/>
          <w:sz w:val="14"/>
          <w:szCs w:val="14"/>
          <w:color w:val="auto"/>
        </w:rPr>
        <w:t xml:space="preserve">Midland, Texas, an assembly facility located in Tulsa, Oklahoma, and service facilities located in major oil and natural gas producing basins throughout the United States. </w:t>
      </w:r>
      <w:r>
        <w:rPr>
          <w:rFonts w:ascii="Arial" w:cs="Arial" w:eastAsia="Arial" w:hAnsi="Arial"/>
          <w:sz w:val="14"/>
          <w:szCs w:val="14"/>
          <w:b w:val="1"/>
          <w:bCs w:val="1"/>
          <w:color w:val="auto"/>
        </w:rPr>
        <w:t>About Flatrock Compression Holdings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Flatrock Compression provides safe, reliable rental compression services to oil and natural gas producers and midstream companies utilizing both gas engine and electric motor driven compression. The company also delivers patented gas lift facility solutions designed to maximize production by minimizing downtime and reducing associated methane emissions. Flatrock operates throughout the Permian Basin and Eagle Ford regions of Texas and has served the oil and gas industry since 2001.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This Release includes certain forward-looking statements, within the meaning of Section 27A of the Securities Act of 1933, as amended, and Section 21E of the Securities Exchange Act of 1934, as amended, and information pertaining to us, the acquisition (the “Acquisition”) of Flatrock Compression Holdings, LLC (“Flatrock”), our industry and the oil and gas industry that is based on the beliefs of our management, as well as assumptions made by and information currently available to our management. All statements, other than statements of historical fact included in this Release are forward-looking statements. When used in this Release, the words “may,” “will,” "expect," “anticipate,” “estimate,” "guidance," “believe,” "continue," "intend," “plan,” “budget” and similar words are intended to identify forward-looking statements.</w:t>
      </w:r>
    </w:p>
    <w:p>
      <w:pPr>
        <w:spacing w:after="0" w:line="128"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These forward–looking statements rely on a number of assumptions concerning future events and are subject to a number of uncertainties and factors that could cause actual results to differ materially from such statements, many of which are outside the control of the Company. Forward–looking information includes, but is not limited to, statements regarding: the anticipated benefits of the Acquisition; the expectation that the acquisition will be immediately and meaningfully accretive; expectations regarding earnings, cash flow, and shareholder value creation; and expectations regarding future growth, competitive position, plans and objectives. The Company undertakes no obligation to revise these forward-looking statements to reflect events or circumstances that arise after the date hereof, except as required by applicable law. Such statements are subject to certain risks and uncertainties which are disclosed in the Company’s reports filed with the Securities and Exchange Commission (“SEC”), including its Form 10-K for the fiscal year ended December 31, 2025, and its other filings with the SEC. All forward-looking statements in this Release are expressly qualified by the cautionary statements and by reference to the underlying assumptions that may prove to be incorrect.</w:t>
      </w:r>
    </w:p>
    <w:p>
      <w:pPr>
        <w:spacing w:after="0" w:line="132"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While the Company believes that the assumptions concerning future events are reasonable, investors are cautioned that there are inherent difficulties in predicting certain important factors that could impact the future performance or results of its business. Some of these factors that could cause results to differ materially from those indicated by such forward-looking statements include, but are not limited to: (i) conditions in the oil and gas industry, including the supply and demand for oil and gas and volatility in the prices of oil and gas; (ii) changes in general economic conditions, inflationary pressures, the potential for impact on our financial condition, results of operations and cash flows; (iii) our reliance on major customers; (iv) failure of projected organic growth due to adverse changes in the oil and gas industry, including depressed oil and gas prices, oppressive environmental regulations and competition; (v) our inability to achieve increased utilization of assets, including rental fleet utilization and monetizing other non-cash balance sheet assets; (vi) failure of our customers to continue to rent equipment after expiration of the primary rental term; (vii) our ability to economically develop and deploy new technologies and services, including technology to comply with health and environmental laws and regulations; (viii) failure to successfully integrate and achieve accretive financial results in connection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287" w:right="29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with any acquisitions we may make, including the Acquisition; (ix) unforeseen liabilities acquired in the Acquisition; (x) fluctuations in interest rates; (xi) our ability to make dividends, distributions and share repurchases; (xii) changes in regulation or prohibition of new well or current completion techniques; (xiii) competition among the various providers of compression services and products; (xiv) changes in safety, health and environmental regulations; (xv) changes in economic or political conditions in the markets in which we operate; (xvi) the inherent risks associated with our operations, such as equipment defects, malfunctions, natural disasters and adverse changes in customer, employee and supplier relationships; (xvii) our inability to comply with covenants in our debt agreements and the decreased financial flexibility associated with our debt; (xviii) inability to finance our future capital requirements and availability of financing; (xix) cybersecurity threats, including increased use of artificial intelligence and other emerging technologies; (xx) capacity availability, costs and performance of our outsourced compressor fabrication providers and overall inflationary pressures; (xxi) impacts of world events, such as acts of terrorism, the conflicts in Iran, Ukraine, Venezuela and the greater Middle East, and significant economic disruptions and adverse consequences resulting from possible long-term effects of potential pandemics and other public health crises; and (xxii) general economic conditions.</w:t>
      </w:r>
    </w:p>
    <w:p>
      <w:pPr>
        <w:spacing w:after="0" w:line="13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financial and operating estimates contained in this Release represent our reasonable estimates as of the date of this Release. Neither our independent auditors nor any other third party has examined, reviewed or compiled the estimates and, accordingly, neither of the foregoing expresses an opinion or other form of assurance with respect thereto. The assumptions upon which the estimates are based are described in more detail herein. Some of these assumptions inevitably will not materialize, and unanticipated events may occur that could affect our results. Therefore, our actual results achieved during the periods covered by the estimates will vary from the estimated results. Investors are not to place undue reliance on the estimates included herein.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Non-GAAP Financial Measures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This Release includes financial measures that are not in accordance with accounting principles generally accepted in the United States (“GAAP”), such as “Adjusted EBITDA.” While management believes that such measures are useful for investors, they should not be used as a replacement for financial measures that are in accordance with GAAP. The Company defines “Adjusted EBITDA” as net income (loss) before interest, taxes, depreciation and amortization, as well as an increase in inventory allowance, impairments, retirement of rental equipment, nonrecurring restructuring charges including severance and non-cash equity-classified stock-based compensation expenses. This term, as used and defined by us, may not be comparable to similarly titled measures employed by other companies. Adjusted EBITDA should not be considered in isolation or as a substitute for operating income, net income or loss, cash flows provided by operating, investing and financing activities, or other income or cash flow statement data prepared in accordance with GAAP. However, management believes Adjusted EBITDA is useful to an investor in evaluating our operating performance. Note that to the extent forward-looking non-GAAP financial measures are provided herein, they are not reconciled to comparable forward-looking GAAP measures due to the inherent difficulty in forecasting and quantifying certain amounts that are necessary for such reconciliation. The Company defines “leverage” consistent with its credit facility and means, as of the last day of each fiscal quarter, the ratio of (i) all Funded Debt as of such date to (ii) Annualized EBITDA as of such date.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287" w:right="299" w:bottom="1440"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D86AAC"/>
    <w:multiLevelType w:val="hybridMultilevel"/>
    <w:lvl w:ilvl="0">
      <w:lvlJc w:val="left"/>
      <w:lvlText w:val="☐"/>
      <w:numFmt w:val="bullet"/>
      <w:start w:val="1"/>
    </w:lvl>
  </w:abstractNum>
  <w:abstractNum w:abstractNumId="1">
    <w:nsid w:val="45E6D486"/>
    <w:multiLevelType w:val="hybridMultilevel"/>
    <w:lvl w:ilvl="0">
      <w:lvlJc w:val="left"/>
      <w:lvlText w:val="(%1)"/>
      <w:numFmt w:val="lowerLetter"/>
      <w:start w:val="4"/>
    </w:lvl>
  </w:abstractNum>
  <w:abstractNum w:abstractNumId="2">
    <w:nsid w:val="5C10FE21"/>
    <w:multiLevelType w:val="hybridMultilevel"/>
    <w:lvl w:ilvl="0">
      <w:lvlJc w:val="left"/>
      <w:lvlText w:val="*"/>
      <w:numFmt w:val="bullet"/>
      <w:start w:val="1"/>
    </w:lvl>
  </w:abstractNum>
  <w:abstractNum w:abstractNumId="3">
    <w:nsid w:val="E7FFA2B"/>
    <w:multiLevelType w:val="hybridMultilevel"/>
    <w:lvl w:ilvl="0">
      <w:lvlJc w:val="left"/>
      <w:lvlText w:val="(%1)"/>
      <w:numFmt w:val="lowerRoman"/>
      <w:start w:val="2"/>
    </w:lvl>
  </w:abstractNum>
  <w:abstractNum w:abstractNumId="4">
    <w:nsid w:val="3C5991AA"/>
    <w:multiLevelType w:val="hybridMultilevel"/>
    <w:lvl w:ilvl="0">
      <w:lvlJc w:val="left"/>
      <w:lvlText w:val="(%1)"/>
      <w:numFmt w:val="lowerRoman"/>
      <w:start w:val="3"/>
    </w:lvl>
  </w:abstractNum>
  <w:abstractNum w:abstractNumId="5">
    <w:nsid w:val="4BD859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
    <w:nsid w:val="78DF6A55"/>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7">
    <w:nsid w:val="39B7AAA2"/>
    <w:multiLevelType w:val="hybridMultilevel"/>
    <w:lvl w:ilvl="0">
      <w:lvlJc w:val="left"/>
      <w:lvlText w:val="(%1)"/>
      <w:numFmt w:val="upperLetter"/>
      <w:start w:val="1"/>
    </w:lvl>
  </w:abstractNum>
  <w:abstractNum w:abstractNumId="8">
    <w:nsid w:val="2B0D8DBE"/>
    <w:multiLevelType w:val="hybridMultilevel"/>
    <w:lvl w:ilvl="0">
      <w:lvlJc w:val="left"/>
      <w:lvlText w:val="(%1)"/>
      <w:numFmt w:val="upperLetter"/>
      <w:start w:val="5"/>
    </w:lvl>
  </w:abstractNum>
  <w:abstractNum w:abstractNumId="9">
    <w:nsid w:val="6C80EC70"/>
    <w:multiLevelType w:val="hybridMultilevel"/>
    <w:lvl w:ilvl="0">
      <w:lvlJc w:val="left"/>
      <w:lvlText w:val="(%1)"/>
      <w:numFmt w:val="lowerLetter"/>
      <w:start w:val="3"/>
    </w:lvl>
  </w:abstractNum>
  <w:abstractNum w:abstractNumId="10">
    <w:nsid w:val="379E21B5"/>
    <w:multiLevelType w:val="hybridMultilevel"/>
    <w:lvl w:ilvl="0">
      <w:lvlJc w:val="left"/>
      <w:lvlText w:val="(%1)"/>
      <w:numFmt w:val="lowerLetter"/>
      <w:start w:val="1"/>
    </w:lvl>
  </w:abstractNum>
  <w:abstractNum w:abstractNumId="11">
    <w:nsid w:val="69E373"/>
    <w:multiLevelType w:val="hybridMultilevel"/>
    <w:lvl w:ilvl="0">
      <w:lvlJc w:val="left"/>
      <w:lvlText w:val="(%1)"/>
      <w:numFmt w:val="lowerLetter"/>
      <w:start w:val="2"/>
    </w:lvl>
  </w:abstractNum>
  <w:abstractNum w:abstractNumId="12">
    <w:nsid w:val="2C27173B"/>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13">
    <w:nsid w:val="4C9B090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4">
    <w:nsid w:val="6AA7B75C"/>
    <w:multiLevelType w:val="hybridMultilevel"/>
    <w:lvl w:ilvl="0">
      <w:lvlJc w:val="left"/>
      <w:lvlText w:val="(%1)"/>
      <w:numFmt w:val="lowerLetter"/>
      <w:start w:val="7"/>
    </w:lvl>
  </w:abstractNum>
  <w:abstractNum w:abstractNumId="15">
    <w:nsid w:val="1DF029D3"/>
    <w:multiLevelType w:val="hybridMultilevel"/>
    <w:lvl w:ilvl="0">
      <w:lvlJc w:val="left"/>
      <w:lvlText w:val="(%1)"/>
      <w:numFmt w:val="lowerLetter"/>
      <w:start w:val="1"/>
    </w:lvl>
  </w:abstractNum>
  <w:abstractNum w:abstractNumId="16">
    <w:nsid w:val="5675FF36"/>
    <w:multiLevelType w:val="hybridMultilevel"/>
    <w:lvl w:ilvl="0">
      <w:lvlJc w:val="left"/>
      <w:lvlText w:val="(%1)"/>
      <w:numFmt w:val="lowerLetter"/>
      <w:start w:val="1"/>
    </w:lvl>
    <w:lvl w:ilvl="1">
      <w:lvlJc w:val="left"/>
      <w:lvlText w:val="(%2)"/>
      <w:numFmt w:val="lowerRoman"/>
      <w:start w:val="1"/>
    </w:lvl>
  </w:abstractNum>
  <w:abstractNum w:abstractNumId="17">
    <w:nsid w:val="3DD15094"/>
    <w:multiLevelType w:val="hybridMultilevel"/>
    <w:lvl w:ilvl="0">
      <w:lvlJc w:val="left"/>
      <w:lvlText w:val="(%1)"/>
      <w:numFmt w:val="lowerLetter"/>
      <w:start w:val="1"/>
    </w:lvl>
  </w:abstractNum>
  <w:abstractNum w:abstractNumId="18">
    <w:nsid w:val="3DB012B3"/>
    <w:multiLevelType w:val="hybridMultilevel"/>
    <w:lvl w:ilvl="0">
      <w:lvlJc w:val="left"/>
      <w:lvlText w:val="(%1)"/>
      <w:numFmt w:val="lowerLetter"/>
      <w:start w:val="1"/>
    </w:lvl>
  </w:abstractNum>
  <w:abstractNum w:abstractNumId="19">
    <w:nsid w:val="2708C9AF"/>
    <w:multiLevelType w:val="hybridMultilevel"/>
    <w:lvl w:ilvl="0">
      <w:lvlJc w:val="left"/>
      <w:lvlText w:val="(%1)"/>
      <w:numFmt w:val="lowerLetter"/>
      <w:start w:val="1"/>
    </w:lvl>
    <w:lvl w:ilvl="1">
      <w:lvlJc w:val="left"/>
      <w:lvlText w:val="(%2)"/>
      <w:numFmt w:val="lowerRoman"/>
      <w:start w:val="1"/>
    </w:lvl>
  </w:abstractNum>
  <w:abstractNum w:abstractNumId="20">
    <w:nsid w:val="5B25ACE2"/>
    <w:multiLevelType w:val="hybridMultilevel"/>
    <w:lvl w:ilvl="0">
      <w:lvlJc w:val="left"/>
      <w:lvlText w:val="(%1)"/>
      <w:numFmt w:val="lowerLetter"/>
      <w:start w:val="2"/>
    </w:lvl>
  </w:abstractNum>
  <w:abstractNum w:abstractNumId="21">
    <w:nsid w:val="175DFCF0"/>
    <w:multiLevelType w:val="hybridMultilevel"/>
    <w:lvl w:ilvl="0">
      <w:lvlJc w:val="left"/>
      <w:lvlText w:val="(%1)"/>
      <w:numFmt w:val="lowerRoman"/>
      <w:start w:val="3"/>
    </w:lvl>
  </w:abstractNum>
  <w:abstractNum w:abstractNumId="22">
    <w:nsid w:val="4F97E3E4"/>
    <w:multiLevelType w:val="hybridMultilevel"/>
    <w:lvl w:ilvl="0">
      <w:lvlJc w:val="left"/>
      <w:lvlText w:val="(%1)"/>
      <w:numFmt w:val="lowerLetter"/>
      <w:start w:val="1"/>
    </w:lvl>
  </w:abstractNum>
  <w:abstractNum w:abstractNumId="23">
    <w:nsid w:val="53B0A9E"/>
    <w:multiLevelType w:val="hybridMultilevel"/>
    <w:lvl w:ilvl="0">
      <w:lvlJc w:val="left"/>
      <w:lvlText w:val="(%1)"/>
      <w:numFmt w:val="lowerLetter"/>
      <w:start w:val="1"/>
    </w:lvl>
  </w:abstractNum>
  <w:abstractNum w:abstractNumId="24">
    <w:nsid w:val="34FD6B4F"/>
    <w:multiLevelType w:val="hybridMultilevel"/>
    <w:lvl w:ilvl="0">
      <w:lvlJc w:val="left"/>
      <w:lvlText w:val="(%1)"/>
      <w:numFmt w:val="lowerLetter"/>
      <w:start w:val="14"/>
    </w:lvl>
  </w:abstractNum>
  <w:abstractNum w:abstractNumId="25">
    <w:nsid w:val="5915FF32"/>
    <w:multiLevelType w:val="hybridMultilevel"/>
    <w:lvl w:ilvl="0">
      <w:lvlJc w:val="left"/>
      <w:lvlText w:val="(%1)"/>
      <w:numFmt w:val="lowerLetter"/>
      <w:start w:val="1"/>
    </w:lvl>
  </w:abstractNum>
  <w:abstractNum w:abstractNumId="26">
    <w:nsid w:val="56438D15"/>
    <w:multiLevelType w:val="hybridMultilevel"/>
    <w:lvl w:ilvl="0">
      <w:lvlJc w:val="left"/>
      <w:lvlText w:val="%1"/>
      <w:numFmt w:val="lowerLetter"/>
      <w:start w:val="1"/>
    </w:lvl>
    <w:lvl w:ilvl="1">
      <w:lvlJc w:val="left"/>
      <w:lvlText w:val="(%2)"/>
      <w:numFmt w:val="lowerLetter"/>
      <w:start w:val="1"/>
    </w:lvl>
  </w:abstractNum>
  <w:abstractNum w:abstractNumId="27">
    <w:nsid w:val="519E3149"/>
    <w:multiLevelType w:val="hybridMultilevel"/>
    <w:lvl w:ilvl="0">
      <w:lvlJc w:val="left"/>
      <w:lvlText w:val="(%1)"/>
      <w:numFmt w:val="lowerLetter"/>
      <w:start w:val="61"/>
    </w:lvl>
    <w:lvl w:ilvl="1">
      <w:lvlJc w:val="left"/>
      <w:lvlText w:val="(%2)"/>
      <w:numFmt w:val="lowerLetter"/>
      <w:start w:val="2"/>
    </w:lvl>
  </w:abstractNum>
  <w:abstractNum w:abstractNumId="28">
    <w:nsid w:val="2C6E4AFD"/>
    <w:multiLevelType w:val="hybridMultilevel"/>
    <w:lvl w:ilvl="0">
      <w:lvlJc w:val="left"/>
      <w:lvlText w:val="(%1)"/>
      <w:numFmt w:val="lowerLetter"/>
      <w:start w:val="3"/>
    </w:lvl>
  </w:abstractNum>
  <w:abstractNum w:abstractNumId="29">
    <w:nsid w:val="17A1B582"/>
    <w:multiLevelType w:val="hybridMultilevel"/>
    <w:lvl w:ilvl="0">
      <w:lvlJc w:val="left"/>
      <w:lvlText w:val="(%1)"/>
      <w:numFmt w:val="lowerLetter"/>
      <w:start w:val="10"/>
    </w:lvl>
  </w:abstractNum>
  <w:abstractNum w:abstractNumId="30">
    <w:nsid w:val="4DF72E4E"/>
    <w:multiLevelType w:val="hybridMultilevel"/>
    <w:lvl w:ilvl="0">
      <w:lvlJc w:val="left"/>
      <w:lvlText w:val="(%1)"/>
      <w:numFmt w:val="lowerLetter"/>
      <w:start w:val="1"/>
    </w:lvl>
  </w:abstractNum>
  <w:abstractNum w:abstractNumId="31">
    <w:nsid w:val="5046B5A9"/>
    <w:multiLevelType w:val="hybridMultilevel"/>
    <w:lvl w:ilvl="0">
      <w:lvlJc w:val="left"/>
      <w:lvlText w:val="(%1)"/>
      <w:numFmt w:val="lowerLetter"/>
      <w:start w:val="4"/>
    </w:lvl>
  </w:abstractNum>
  <w:abstractNum w:abstractNumId="32">
    <w:nsid w:val="5D888A08"/>
    <w:multiLevelType w:val="hybridMultilevel"/>
    <w:lvl w:ilvl="0">
      <w:lvlJc w:val="left"/>
      <w:lvlText w:val="%1"/>
      <w:numFmt w:val="lowerLetter"/>
      <w:start w:val="1"/>
    </w:lvl>
    <w:lvl w:ilvl="1">
      <w:lvlJc w:val="left"/>
      <w:lvlText w:val="(%2)"/>
      <w:numFmt w:val="lowerLetter"/>
      <w:start w:val="1"/>
    </w:lvl>
  </w:abstractNum>
  <w:abstractNum w:abstractNumId="33">
    <w:nsid w:val="2A082C70"/>
    <w:multiLevelType w:val="hybridMultilevel"/>
    <w:lvl w:ilvl="0">
      <w:lvlJc w:val="left"/>
      <w:lvlText w:val="(%1)"/>
      <w:numFmt w:val="lowerLetter"/>
      <w:start w:val="9"/>
    </w:lvl>
    <w:lvl w:ilvl="1">
      <w:lvlJc w:val="left"/>
      <w:lvlText w:val="%2"/>
      <w:numFmt w:val="lowerLetter"/>
      <w:start w:val="1"/>
    </w:lvl>
  </w:abstractNum>
  <w:abstractNum w:abstractNumId="34">
    <w:nsid w:val="5EC6AFD4"/>
    <w:multiLevelType w:val="hybridMultilevel"/>
    <w:lvl w:ilvl="0">
      <w:lvlJc w:val="left"/>
      <w:lvlText w:val="(%1)"/>
      <w:numFmt w:val="lowerLetter"/>
      <w:start w:val="2"/>
    </w:lvl>
  </w:abstractNum>
  <w:abstractNum w:abstractNumId="35">
    <w:nsid w:val="19E21BB2"/>
    <w:multiLevelType w:val="hybridMultilevel"/>
    <w:lvl w:ilvl="0">
      <w:lvlJc w:val="left"/>
      <w:lvlText w:val="(%1)"/>
      <w:numFmt w:val="lowerLetter"/>
      <w:start w:val="1"/>
    </w:lvl>
  </w:abstractNum>
  <w:abstractNum w:abstractNumId="36">
    <w:nsid w:val="75E0858A"/>
    <w:multiLevelType w:val="hybridMultilevel"/>
    <w:lvl w:ilvl="0">
      <w:lvlJc w:val="left"/>
      <w:lvlText w:val="(%1)"/>
      <w:numFmt w:val="lowerLetter"/>
      <w:start w:val="3"/>
    </w:lvl>
  </w:abstractNum>
  <w:abstractNum w:abstractNumId="37">
    <w:nsid w:val="57A61A29"/>
    <w:multiLevelType w:val="hybridMultilevel"/>
    <w:lvl w:ilvl="0">
      <w:lvlJc w:val="left"/>
      <w:lvlText w:val="(%1)"/>
      <w:numFmt w:val="lowerLetter"/>
      <w:start w:val="9"/>
    </w:lvl>
    <w:lvl w:ilvl="1">
      <w:lvlJc w:val="left"/>
      <w:lvlText w:val="(%2)"/>
      <w:numFmt w:val="lowerLetter"/>
      <w:start w:val="1"/>
    </w:lvl>
  </w:abstractNum>
  <w:abstractNum w:abstractNumId="38">
    <w:nsid w:val="5399C654"/>
    <w:multiLevelType w:val="hybridMultilevel"/>
    <w:lvl w:ilvl="0">
      <w:lvlJc w:val="left"/>
      <w:lvlText w:val="(%1)"/>
      <w:numFmt w:val="lowerLetter"/>
      <w:start w:val="6"/>
    </w:lvl>
  </w:abstractNum>
  <w:abstractNum w:abstractNumId="39">
    <w:nsid w:val="20EE1348"/>
    <w:multiLevelType w:val="hybridMultilevel"/>
    <w:lvl w:ilvl="0">
      <w:lvlJc w:val="left"/>
      <w:lvlText w:val="(%1)"/>
      <w:numFmt w:val="lowerLetter"/>
      <w:start w:val="1"/>
    </w:lvl>
  </w:abstractNum>
  <w:abstractNum w:abstractNumId="40">
    <w:nsid w:val="4427069A"/>
    <w:multiLevelType w:val="hybridMultilevel"/>
    <w:lvl w:ilvl="0">
      <w:lvlJc w:val="left"/>
      <w:lvlText w:val="(%1)"/>
      <w:numFmt w:val="lowerLetter"/>
      <w:start w:val="5"/>
    </w:lvl>
  </w:abstractNum>
  <w:abstractNum w:abstractNumId="41">
    <w:nsid w:val="B37E80A"/>
    <w:multiLevelType w:val="hybridMultilevel"/>
    <w:lvl w:ilvl="0">
      <w:lvlJc w:val="left"/>
      <w:lvlText w:val="(%1)"/>
      <w:numFmt w:val="lowerLetter"/>
      <w:start w:val="6"/>
    </w:lvl>
  </w:abstractNum>
  <w:abstractNum w:abstractNumId="42">
    <w:nsid w:val="2157F6BC"/>
    <w:multiLevelType w:val="hybridMultilevel"/>
    <w:lvl w:ilvl="0">
      <w:lvlJc w:val="left"/>
      <w:lvlText w:val="(%1)"/>
      <w:numFmt w:val="lowerLetter"/>
      <w:start w:val="15"/>
    </w:lvl>
  </w:abstractNum>
  <w:abstractNum w:abstractNumId="43">
    <w:nsid w:val="704E1DD5"/>
    <w:multiLevelType w:val="hybridMultilevel"/>
    <w:lvl w:ilvl="0">
      <w:lvlJc w:val="left"/>
      <w:lvlText w:val="(%1)"/>
      <w:numFmt w:val="lowerLetter"/>
      <w:start w:val="25"/>
    </w:lvl>
  </w:abstractNum>
  <w:abstractNum w:abstractNumId="44">
    <w:nsid w:val="57D2F10E"/>
    <w:multiLevelType w:val="hybridMultilevel"/>
    <w:lvl w:ilvl="0">
      <w:lvlJc w:val="left"/>
      <w:lvlText w:val="(%1)"/>
      <w:numFmt w:val="lowerLetter"/>
      <w:start w:val="1"/>
    </w:lvl>
  </w:abstractNum>
  <w:abstractNum w:abstractNumId="45">
    <w:nsid w:val="BFFAE18"/>
    <w:multiLevelType w:val="hybridMultilevel"/>
    <w:lvl w:ilvl="0">
      <w:lvlJc w:val="left"/>
      <w:lvlText w:val="§"/>
      <w:numFmt w:val="bullet"/>
      <w:start w:val="1"/>
    </w:lvl>
    <w:lvl w:ilvl="1">
      <w:lvlJc w:val="left"/>
      <w:lvlText w:val="(%2)"/>
      <w:numFmt w:val="lowerLetter"/>
      <w:start w:val="6"/>
    </w:lvl>
    <w:lvl w:ilvl="2">
      <w:lvlJc w:val="left"/>
      <w:lvlText w:val="(%3)"/>
      <w:numFmt w:val="lowerRoman"/>
      <w:start w:val="1"/>
    </w:lvl>
  </w:abstractNum>
  <w:abstractNum w:abstractNumId="46">
    <w:nsid w:val="E3E47A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5"/>
    </w:lvl>
  </w:abstractNum>
  <w:abstractNum w:abstractNumId="47">
    <w:nsid w:val="2E48F04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48">
    <w:nsid w:val="49D0FEAC"/>
    <w:multiLevelType w:val="hybridMultilevel"/>
    <w:lvl w:ilvl="0">
      <w:lvlJc w:val="left"/>
      <w:lvlText w:val="(%1)"/>
      <w:numFmt w:val="lowerRoman"/>
      <w:start w:val="6"/>
    </w:lvl>
  </w:abstractNum>
  <w:abstractNum w:abstractNumId="49">
    <w:nsid w:val="4BEE5A5B"/>
    <w:multiLevelType w:val="hybridMultilevel"/>
    <w:lvl w:ilvl="0">
      <w:lvlJc w:val="left"/>
      <w:lvlText w:val="%1"/>
      <w:numFmt w:val="lowerLetter"/>
      <w:start w:val="1"/>
    </w:lvl>
    <w:lvl w:ilvl="1">
      <w:lvlJc w:val="left"/>
      <w:lvlText w:val="(%2)"/>
      <w:numFmt w:val="lowerRoman"/>
      <w:start w:val="10"/>
    </w:lvl>
  </w:abstractNum>
  <w:abstractNum w:abstractNumId="50">
    <w:nsid w:val="5551B9F3"/>
    <w:multiLevelType w:val="hybridMultilevel"/>
    <w:lvl w:ilvl="0">
      <w:lvlJc w:val="left"/>
      <w:lvlText w:val="(%1)"/>
      <w:numFmt w:val="lowerLetter"/>
      <w:start w:val="2"/>
    </w:lvl>
    <w:lvl w:ilvl="1">
      <w:lvlJc w:val="left"/>
      <w:lvlText w:val="%2"/>
      <w:numFmt w:val="lowerRoman"/>
      <w:start w:val="1"/>
    </w:lvl>
  </w:abstractNum>
  <w:abstractNum w:abstractNumId="51">
    <w:nsid w:val="24F6AB8E"/>
    <w:multiLevelType w:val="hybridMultilevel"/>
    <w:lvl w:ilvl="0">
      <w:lvlJc w:val="left"/>
      <w:lvlText w:val="(%1)"/>
      <w:numFmt w:val="lowerLetter"/>
      <w:start w:val="1"/>
    </w:lvl>
  </w:abstractNum>
  <w:abstractNum w:abstractNumId="52">
    <w:nsid w:val="634C574C"/>
    <w:multiLevelType w:val="hybridMultilevel"/>
    <w:lvl w:ilvl="0">
      <w:lvlJc w:val="left"/>
      <w:lvlText w:val="%1"/>
      <w:numFmt w:val="lowerLetter"/>
      <w:start w:val="1"/>
    </w:lvl>
    <w:lvl w:ilvl="1">
      <w:lvlJc w:val="left"/>
      <w:lvlText w:val="(%2)"/>
      <w:numFmt w:val="lowerLetter"/>
      <w:start w:val="1"/>
    </w:lvl>
  </w:abstractNum>
  <w:abstractNum w:abstractNumId="53">
    <w:nsid w:val="24E99DD7"/>
    <w:multiLevelType w:val="hybridMultilevel"/>
    <w:lvl w:ilvl="0">
      <w:lvlJc w:val="left"/>
      <w:lvlText w:val="(%1)"/>
      <w:numFmt w:val="lowerLetter"/>
      <w:start w:val="9"/>
    </w:lvl>
    <w:lvl w:ilvl="1">
      <w:lvlJc w:val="left"/>
      <w:lvlText w:val="(%2)"/>
      <w:numFmt w:val="lowerLetter"/>
      <w:start w:val="1"/>
    </w:lvl>
  </w:abstractNum>
  <w:abstractNum w:abstractNumId="54">
    <w:nsid w:val="2A31B62D"/>
    <w:multiLevelType w:val="hybridMultilevel"/>
    <w:lvl w:ilvl="0">
      <w:lvlJc w:val="left"/>
      <w:lvlText w:val="(%1)"/>
      <w:numFmt w:val="lowerLetter"/>
      <w:start w:val="2"/>
    </w:lvl>
  </w:abstractNum>
  <w:abstractNum w:abstractNumId="55">
    <w:nsid w:val="1849C29B"/>
    <w:multiLevelType w:val="hybridMultilevel"/>
    <w:lvl w:ilvl="0">
      <w:lvlJc w:val="left"/>
      <w:lvlText w:val="(%1)"/>
      <w:numFmt w:val="lowerLetter"/>
      <w:start w:val="1"/>
    </w:lvl>
    <w:lvl w:ilvl="1">
      <w:lvlJc w:val="left"/>
      <w:lvlText w:val="(%2)"/>
      <w:numFmt w:val="lowerRoman"/>
      <w:start w:val="1"/>
    </w:lvl>
  </w:abstractNum>
  <w:abstractNum w:abstractNumId="56">
    <w:nsid w:val="7DFF9D09"/>
    <w:multiLevelType w:val="hybridMultilevel"/>
    <w:lvl w:ilvl="0">
      <w:lvlJc w:val="left"/>
      <w:lvlText w:val="(%1)"/>
      <w:numFmt w:val="lowerLetter"/>
      <w:start w:val="2"/>
    </w:lvl>
  </w:abstractNum>
  <w:abstractNum w:abstractNumId="57">
    <w:nsid w:val="754342"/>
    <w:multiLevelType w:val="hybridMultilevel"/>
    <w:lvl w:ilvl="0">
      <w:lvlJc w:val="left"/>
      <w:lvlText w:val="(%1)"/>
      <w:numFmt w:val="lowerLetter"/>
      <w:start w:val="1"/>
    </w:lvl>
  </w:abstractNum>
  <w:abstractNum w:abstractNumId="58">
    <w:nsid w:val="69E7F3E5"/>
    <w:multiLevelType w:val="hybridMultilevel"/>
    <w:lvl w:ilvl="0">
      <w:lvlJc w:val="left"/>
      <w:lvlText w:val="(%1)"/>
      <w:numFmt w:val="lowerLetter"/>
      <w:start w:val="1"/>
    </w:lvl>
  </w:abstractNum>
  <w:abstractNum w:abstractNumId="59">
    <w:nsid w:val="2A6DE806"/>
    <w:multiLevelType w:val="hybridMultilevel"/>
    <w:lvl w:ilvl="0">
      <w:lvlJc w:val="left"/>
      <w:lvlText w:val="(%1)"/>
      <w:numFmt w:val="lowerLetter"/>
      <w:start w:val="1"/>
    </w:lvl>
  </w:abstractNum>
  <w:abstractNum w:abstractNumId="60">
    <w:nsid w:val="1816F8C4"/>
    <w:multiLevelType w:val="hybridMultilevel"/>
    <w:lvl w:ilvl="0">
      <w:lvlJc w:val="left"/>
      <w:lvlText w:val="(%1)"/>
      <w:numFmt w:val="lowerLetter"/>
      <w:start w:val="2"/>
    </w:lvl>
  </w:abstractNum>
  <w:abstractNum w:abstractNumId="61">
    <w:nsid w:val="37DF2233"/>
    <w:multiLevelType w:val="hybridMultilevel"/>
    <w:lvl w:ilvl="0">
      <w:lvlJc w:val="left"/>
      <w:lvlText w:val="(%1)"/>
      <w:numFmt w:val="lowerLetter"/>
      <w:start w:val="1"/>
    </w:lvl>
  </w:abstractNum>
  <w:abstractNum w:abstractNumId="62">
    <w:nsid w:val="7AB49DAF"/>
    <w:multiLevelType w:val="hybridMultilevel"/>
    <w:lvl w:ilvl="0">
      <w:lvlJc w:val="left"/>
      <w:lvlText w:val="(%1)"/>
      <w:numFmt w:val="lowerLetter"/>
      <w:start w:val="1"/>
    </w:lvl>
  </w:abstractNum>
  <w:abstractNum w:abstractNumId="63">
    <w:nsid w:val="759F82CD"/>
    <w:multiLevelType w:val="hybridMultilevel"/>
    <w:lvl w:ilvl="0">
      <w:lvlJc w:val="left"/>
      <w:lvlText w:val="(%1)"/>
      <w:numFmt w:val="lowerLetter"/>
      <w:start w:val="2"/>
    </w:lvl>
  </w:abstractNum>
  <w:abstractNum w:abstractNumId="64">
    <w:nsid w:val="61E74EA3"/>
    <w:multiLevelType w:val="hybridMultilevel"/>
    <w:lvl w:ilvl="0">
      <w:lvlJc w:val="left"/>
      <w:lvlText w:val="(%1)"/>
      <w:numFmt w:val="lowerLetter"/>
      <w:start w:val="1"/>
    </w:lvl>
  </w:abstractNum>
  <w:abstractNum w:abstractNumId="65">
    <w:nsid w:val="597B4D84"/>
    <w:multiLevelType w:val="hybridMultilevel"/>
    <w:lvl w:ilvl="0">
      <w:lvlJc w:val="left"/>
      <w:lvlText w:val="(%1)"/>
      <w:numFmt w:val="lowerLetter"/>
      <w:start w:val="1"/>
    </w:lvl>
  </w:abstractNum>
  <w:abstractNum w:abstractNumId="66">
    <w:nsid w:val="F819E7F"/>
    <w:multiLevelType w:val="hybridMultilevel"/>
    <w:lvl w:ilvl="0">
      <w:lvlJc w:val="left"/>
      <w:lvlText w:val="(%1)"/>
      <w:numFmt w:val="lowerLetter"/>
      <w:start w:val="2"/>
    </w:lvl>
  </w:abstractNum>
  <w:abstractNum w:abstractNumId="67">
    <w:nsid w:val="57C7D42D"/>
    <w:multiLevelType w:val="hybridMultilevel"/>
    <w:lvl w:ilvl="0">
      <w:lvlJc w:val="left"/>
      <w:lvlText w:val="(%1)"/>
      <w:numFmt w:val="lowerLetter"/>
      <w:start w:val="3"/>
    </w:lvl>
  </w:abstractNum>
  <w:abstractNum w:abstractNumId="68">
    <w:nsid w:val="312167AD"/>
    <w:multiLevelType w:val="hybridMultilevel"/>
    <w:lvl w:ilvl="0">
      <w:lvlJc w:val="left"/>
      <w:lvlText w:val="(%1)"/>
      <w:numFmt w:val="lowerRoman"/>
      <w:start w:val="1"/>
    </w:lvl>
  </w:abstractNum>
  <w:abstractNum w:abstractNumId="69">
    <w:nsid w:val="631B64D4"/>
    <w:multiLevelType w:val="hybridMultilevel"/>
    <w:lvl w:ilvl="0">
      <w:lvlJc w:val="left"/>
      <w:lvlText w:val="(%1)"/>
      <w:numFmt w:val="lowerRoman"/>
      <w:start w:val="3"/>
    </w:lvl>
  </w:abstractNum>
  <w:abstractNum w:abstractNumId="70">
    <w:nsid w:val="78B5E776"/>
    <w:multiLevelType w:val="hybridMultilevel"/>
    <w:lvl w:ilvl="0">
      <w:lvlJc w:val="left"/>
      <w:lvlText w:val="(%1)"/>
      <w:numFmt w:val="lowerLetter"/>
      <w:start w:val="3"/>
    </w:lvl>
  </w:abstractNum>
  <w:abstractNum w:abstractNumId="71">
    <w:nsid w:val="75486E47"/>
    <w:multiLevelType w:val="hybridMultilevel"/>
    <w:lvl w:ilvl="0">
      <w:lvlJc w:val="left"/>
      <w:lvlText w:val="(%1)"/>
      <w:numFmt w:val="lowerLetter"/>
      <w:start w:val="1"/>
    </w:lvl>
  </w:abstractNum>
  <w:abstractNum w:abstractNumId="72">
    <w:nsid w:val="6E534CDE"/>
    <w:multiLevelType w:val="hybridMultilevel"/>
    <w:lvl w:ilvl="0">
      <w:lvlJc w:val="left"/>
      <w:lvlText w:val="(%1)"/>
      <w:numFmt w:val="lowerLetter"/>
      <w:start w:val="1"/>
    </w:lvl>
  </w:abstractNum>
  <w:abstractNum w:abstractNumId="73">
    <w:nsid w:val="1A0DDE32"/>
    <w:multiLevelType w:val="hybridMultilevel"/>
    <w:lvl w:ilvl="0">
      <w:lvlJc w:val="left"/>
      <w:lvlText w:val="(%1)"/>
      <w:numFmt w:val="lowerLetter"/>
      <w:start w:val="2"/>
    </w:lvl>
  </w:abstractNum>
  <w:abstractNum w:abstractNumId="74">
    <w:nsid w:val="65968C1C"/>
    <w:multiLevelType w:val="hybridMultilevel"/>
    <w:lvl w:ilvl="0">
      <w:lvlJc w:val="left"/>
      <w:lvlText w:val="%1"/>
      <w:numFmt w:val="lowerLetter"/>
      <w:start w:val="1"/>
    </w:lvl>
    <w:lvl w:ilvl="1">
      <w:lvlJc w:val="left"/>
      <w:lvlText w:val="(%2)"/>
      <w:numFmt w:val="lowerLetter"/>
      <w:start w:val="2"/>
    </w:lvl>
  </w:abstractNum>
  <w:abstractNum w:abstractNumId="75">
    <w:nsid w:val="46263DEC"/>
    <w:multiLevelType w:val="hybridMultilevel"/>
    <w:lvl w:ilvl="0">
      <w:lvlJc w:val="left"/>
      <w:lvlText w:val="(%1)"/>
      <w:numFmt w:val="lowerLetter"/>
      <w:start w:val="5"/>
    </w:lvl>
    <w:lvl w:ilvl="1">
      <w:lvlJc w:val="left"/>
      <w:lvlText w:val="%2"/>
      <w:numFmt w:val="lowerLetter"/>
      <w:start w:val="1"/>
    </w:lvl>
  </w:abstractNum>
  <w:abstractNum w:abstractNumId="76">
    <w:nsid w:val="260D8C4A"/>
    <w:multiLevelType w:val="hybridMultilevel"/>
    <w:lvl w:ilvl="0">
      <w:lvlJc w:val="left"/>
      <w:lvlText w:val="(%1)"/>
      <w:numFmt w:val="lowerLetter"/>
      <w:start w:val="1"/>
    </w:lvl>
  </w:abstractNum>
  <w:abstractNum w:abstractNumId="77">
    <w:nsid w:val="73D4D3C4"/>
    <w:multiLevelType w:val="hybridMultilevel"/>
    <w:lvl w:ilvl="0">
      <w:lvlJc w:val="left"/>
      <w:lvlText w:val="(%1)"/>
      <w:numFmt w:val="lowerLetter"/>
      <w:start w:val="1"/>
    </w:lvl>
  </w:abstractNum>
  <w:abstractNum w:abstractNumId="78">
    <w:nsid w:val="746F2E30"/>
    <w:multiLevelType w:val="hybridMultilevel"/>
    <w:lvl w:ilvl="0">
      <w:lvlJc w:val="left"/>
      <w:lvlText w:val="(%1)"/>
      <w:numFmt w:val="lowerLetter"/>
      <w:start w:val="15"/>
    </w:lvl>
  </w:abstractNum>
  <w:abstractNum w:abstractNumId="79">
    <w:nsid w:val="6FDE8AF6"/>
    <w:multiLevelType w:val="hybridMultilevel"/>
    <w:lvl w:ilvl="0">
      <w:lvlJc w:val="left"/>
      <w:lvlText w:val="(%1)"/>
      <w:numFmt w:val="lowerLetter"/>
      <w:start w:val="1"/>
    </w:lvl>
  </w:abstractNum>
  <w:abstractNum w:abstractNumId="80">
    <w:nsid w:val="3FC32E20"/>
    <w:multiLevelType w:val="hybridMultilevel"/>
    <w:lvl w:ilvl="0">
      <w:lvlJc w:val="left"/>
      <w:lvlText w:val="(%1)"/>
      <w:numFmt w:val="lowerLetter"/>
      <w:start w:val="5"/>
    </w:lvl>
  </w:abstractNum>
  <w:abstractNum w:abstractNumId="81">
    <w:nsid w:val="49C0E823"/>
    <w:multiLevelType w:val="hybridMultilevel"/>
    <w:lvl w:ilvl="0">
      <w:lvlJc w:val="left"/>
      <w:lvlText w:val="(%1)"/>
      <w:numFmt w:val="lowerLetter"/>
      <w:start w:val="3"/>
    </w:lvl>
  </w:abstractNum>
  <w:abstractNum w:abstractNumId="82">
    <w:nsid w:val="14D53685"/>
    <w:multiLevelType w:val="hybridMultilevel"/>
    <w:lvl w:ilvl="0">
      <w:lvlJc w:val="left"/>
      <w:lvlText w:val="(%1)"/>
      <w:numFmt w:val="lowerLetter"/>
      <w:start w:val="1"/>
    </w:lvl>
  </w:abstractNum>
  <w:abstractNum w:abstractNumId="83">
    <w:nsid w:val="230F856C"/>
    <w:multiLevelType w:val="hybridMultilevel"/>
    <w:lvl w:ilvl="0">
      <w:lvlJc w:val="left"/>
      <w:lvlText w:val="(%1)"/>
      <w:numFmt w:val="lowerLetter"/>
      <w:start w:val="4"/>
    </w:lvl>
  </w:abstractNum>
  <w:abstractNum w:abstractNumId="84">
    <w:nsid w:val="6EAA85FB"/>
    <w:multiLevelType w:val="hybridMultilevel"/>
    <w:lvl w:ilvl="0">
      <w:lvlJc w:val="left"/>
      <w:lvlText w:val="(%1)"/>
      <w:numFmt w:val="lowerLetter"/>
      <w:start w:val="5"/>
    </w:lvl>
  </w:abstractNum>
  <w:abstractNum w:abstractNumId="85">
    <w:nsid w:val="3F06ECB2"/>
    <w:multiLevelType w:val="hybridMultilevel"/>
    <w:lvl w:ilvl="0">
      <w:lvlJc w:val="left"/>
      <w:lvlText w:val="(%1)"/>
      <w:numFmt w:val="lowerLetter"/>
      <w:start w:val="1"/>
    </w:lvl>
  </w:abstractNum>
  <w:abstractNum w:abstractNumId="86">
    <w:nsid w:val="3B594807"/>
    <w:multiLevelType w:val="hybridMultilevel"/>
    <w:lvl w:ilvl="0">
      <w:lvlJc w:val="left"/>
      <w:lvlText w:val="(%1)"/>
      <w:numFmt w:val="lowerLetter"/>
      <w:start w:val="2"/>
    </w:lvl>
  </w:abstractNum>
  <w:abstractNum w:abstractNumId="87">
    <w:nsid w:val="6CAA2304"/>
    <w:multiLevelType w:val="hybridMultilevel"/>
    <w:lvl w:ilvl="0">
      <w:lvlJc w:val="left"/>
      <w:lvlText w:val="(%1)"/>
      <w:numFmt w:val="lowerLetter"/>
      <w:start w:val="3"/>
    </w:lvl>
  </w:abstractNum>
  <w:abstractNum w:abstractNumId="88">
    <w:nsid w:val="3F7C2FF4"/>
    <w:multiLevelType w:val="hybridMultilevel"/>
    <w:lvl w:ilvl="0">
      <w:lvlJc w:val="left"/>
      <w:lvlText w:val="(%1)"/>
      <w:numFmt w:val="lowerLetter"/>
      <w:start w:val="1"/>
    </w:lvl>
  </w:abstractNum>
  <w:abstractNum w:abstractNumId="89">
    <w:nsid w:val="25413BEC"/>
    <w:multiLevelType w:val="hybridMultilevel"/>
    <w:lvl w:ilvl="0">
      <w:lvlJc w:val="left"/>
      <w:lvlText w:val="(%1)"/>
      <w:numFmt w:val="lowerLetter"/>
      <w:start w:val="3"/>
    </w:lvl>
  </w:abstractNum>
  <w:abstractNum w:abstractNumId="90">
    <w:nsid w:val="17180B0B"/>
    <w:multiLevelType w:val="hybridMultilevel"/>
    <w:lvl w:ilvl="0">
      <w:lvlJc w:val="left"/>
      <w:lvlText w:val="(%1)"/>
      <w:numFmt w:val="lowerLetter"/>
      <w:start w:val="1"/>
    </w:lvl>
  </w:abstractNum>
  <w:abstractNum w:abstractNumId="91">
    <w:nsid w:val="579328B9"/>
    <w:multiLevelType w:val="hybridMultilevel"/>
    <w:lvl w:ilvl="0">
      <w:lvlJc w:val="left"/>
      <w:lvlText w:val="(%1)"/>
      <w:numFmt w:val="lowerLetter"/>
      <w:start w:val="2"/>
    </w:lvl>
  </w:abstractNum>
  <w:abstractNum w:abstractNumId="92">
    <w:nsid w:val="5D205E20"/>
    <w:multiLevelType w:val="hybridMultilevel"/>
    <w:lvl w:ilvl="0">
      <w:lvlJc w:val="left"/>
      <w:lvlText w:val="(%1)"/>
      <w:numFmt w:val="lowerLetter"/>
      <w:start w:val="1"/>
    </w:lvl>
  </w:abstractNum>
  <w:abstractNum w:abstractNumId="93">
    <w:nsid w:val="11CCA8BA"/>
    <w:multiLevelType w:val="hybridMultilevel"/>
    <w:lvl w:ilvl="0">
      <w:lvlJc w:val="left"/>
      <w:lvlText w:val="(%1)"/>
      <w:numFmt w:val="lowerLetter"/>
      <w:start w:val="3"/>
    </w:lvl>
  </w:abstractNum>
  <w:abstractNum w:abstractNumId="94">
    <w:nsid w:val="4D32AB8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5">
    <w:nsid w:val="3F07ACC3"/>
    <w:multiLevelType w:val="hybridMultilevel"/>
    <w:lvl w:ilvl="0">
      <w:lvlJc w:val="left"/>
      <w:lvlText w:val="%1"/>
      <w:numFmt w:val="lowerRoman"/>
      <w:start w:val="1"/>
    </w:lvl>
    <w:lvl w:ilvl="1">
      <w:lvlJc w:val="left"/>
      <w:lvlText w:val="(%2)"/>
      <w:numFmt w:val="upperLetter"/>
      <w:start w:val="5"/>
    </w:lvl>
  </w:abstractNum>
  <w:abstractNum w:abstractNumId="96">
    <w:nsid w:val="6B47F63E"/>
    <w:multiLevelType w:val="hybridMultilevel"/>
    <w:lvl w:ilvl="0">
      <w:lvlJc w:val="left"/>
      <w:lvlText w:val="(%1)"/>
      <w:numFmt w:val="lowerRoman"/>
      <w:start w:val="4"/>
    </w:lvl>
    <w:lvl w:ilvl="1">
      <w:lvlJc w:val="left"/>
      <w:lvlText w:val="%2"/>
      <w:numFmt w:val="upperLetter"/>
      <w:start w:val="1"/>
    </w:lvl>
  </w:abstractNum>
  <w:abstractNum w:abstractNumId="97">
    <w:nsid w:val="5CB44A05"/>
    <w:multiLevelType w:val="hybridMultilevel"/>
    <w:lvl w:ilvl="0">
      <w:lvlJc w:val="left"/>
      <w:lvlText w:val="(%1)"/>
      <w:numFmt w:val="lowerLetter"/>
      <w:start w:val="2"/>
    </w:lvl>
    <w:lvl w:ilvl="1">
      <w:lvlJc w:val="left"/>
      <w:lvlText w:val="(%2)"/>
      <w:numFmt w:val="lowerLetter"/>
      <w:start w:val="9"/>
    </w:lvl>
  </w:abstractNum>
  <w:abstractNum w:abstractNumId="98">
    <w:nsid w:val="16CF80F1"/>
    <w:multiLevelType w:val="hybridMultilevel"/>
    <w:lvl w:ilvl="0">
      <w:lvlJc w:val="left"/>
      <w:lvlText w:val="%1"/>
      <w:numFmt w:val="lowerLetter"/>
      <w:start w:val="1"/>
    </w:lvl>
    <w:lvl w:ilvl="1">
      <w:lvlJc w:val="left"/>
      <w:lvlText w:val="(%2)"/>
      <w:numFmt w:val="lowerRoman"/>
      <w:start w:val="2"/>
    </w:lvl>
  </w:abstractNum>
  <w:abstractNum w:abstractNumId="99">
    <w:nsid w:val="1C695DEC"/>
    <w:multiLevelType w:val="hybridMultilevel"/>
    <w:lvl w:ilvl="0">
      <w:lvlJc w:val="left"/>
      <w:lvlText w:val="(%1)"/>
      <w:numFmt w:val="lowerLetter"/>
      <w:start w:val="3"/>
    </w:lvl>
    <w:lvl w:ilvl="1">
      <w:lvlJc w:val="left"/>
      <w:lvlText w:val="%2"/>
      <w:numFmt w:val="lowerRoman"/>
      <w:start w:val="1"/>
    </w:lvl>
  </w:abstractNum>
  <w:abstractNum w:abstractNumId="100">
    <w:nsid w:val="3FCFAED9"/>
    <w:multiLevelType w:val="hybridMultilevel"/>
    <w:lvl w:ilvl="0">
      <w:lvlJc w:val="left"/>
      <w:lvlText w:val="(%1)"/>
      <w:numFmt w:val="lowerRoman"/>
      <w:start w:val="1"/>
    </w:lvl>
  </w:abstractNum>
  <w:abstractNum w:abstractNumId="101">
    <w:nsid w:val="F856867"/>
    <w:multiLevelType w:val="hybridMultilevel"/>
    <w:lvl w:ilvl="0">
      <w:lvlJc w:val="left"/>
      <w:lvlText w:val="%1"/>
      <w:numFmt w:val="lowerLetter"/>
      <w:start w:val="1"/>
    </w:lvl>
    <w:lvl w:ilvl="1">
      <w:lvlJc w:val="left"/>
      <w:lvlText w:val="(%2)"/>
      <w:numFmt w:val="lowerRoman"/>
      <w:start w:val="6"/>
    </w:lvl>
  </w:abstractNum>
  <w:abstractNum w:abstractNumId="102">
    <w:nsid w:val="11B1CC33"/>
    <w:multiLevelType w:val="hybridMultilevel"/>
    <w:lvl w:ilvl="0">
      <w:lvlJc w:val="left"/>
      <w:lvlText w:val="(%1)"/>
      <w:numFmt w:val="lowerLetter"/>
      <w:start w:val="4"/>
    </w:lvl>
    <w:lvl w:ilvl="1">
      <w:lvlJc w:val="left"/>
      <w:lvlText w:val="(%2)"/>
      <w:numFmt w:val="lowerRoman"/>
      <w:start w:val="1"/>
    </w:lvl>
  </w:abstractNum>
  <w:abstractNum w:abstractNumId="103">
    <w:nsid w:val="2E22FBB7"/>
    <w:multiLevelType w:val="hybridMultilevel"/>
    <w:lvl w:ilvl="0">
      <w:lvlJc w:val="left"/>
      <w:lvlText w:val="(%1)"/>
      <w:numFmt w:val="lowerRoman"/>
      <w:start w:val="2"/>
    </w:lvl>
  </w:abstractNum>
  <w:abstractNum w:abstractNumId="104">
    <w:nsid w:val="29934699"/>
    <w:multiLevelType w:val="hybridMultilevel"/>
    <w:lvl w:ilvl="0">
      <w:lvlJc w:val="left"/>
      <w:lvlText w:val="(%1)"/>
      <w:numFmt w:val="lowerLetter"/>
      <w:start w:val="6"/>
    </w:lvl>
  </w:abstractNum>
  <w:abstractNum w:abstractNumId="105">
    <w:nsid w:val="77485850"/>
    <w:multiLevelType w:val="hybridMultilevel"/>
    <w:lvl w:ilvl="0">
      <w:lvlJc w:val="left"/>
      <w:lvlText w:val="(%1)"/>
      <w:numFmt w:val="lowerLetter"/>
      <w:start w:val="7"/>
    </w:lvl>
  </w:abstractNum>
  <w:abstractNum w:abstractNumId="106">
    <w:nsid w:val="744939A3"/>
    <w:multiLevelType w:val="hybridMultilevel"/>
    <w:lvl w:ilvl="0">
      <w:lvlJc w:val="left"/>
      <w:lvlText w:val="(%1)"/>
      <w:numFmt w:val="lowerRoman"/>
      <w:start w:val="1"/>
    </w:lvl>
  </w:abstractNum>
  <w:abstractNum w:abstractNumId="107">
    <w:nsid w:val="4FA0D2E3"/>
    <w:multiLevelType w:val="hybridMultilevel"/>
    <w:lvl w:ilvl="0">
      <w:lvlJc w:val="left"/>
      <w:lvlText w:val="(%1)"/>
      <w:numFmt w:val="lowerLetter"/>
      <w:start w:val="1"/>
    </w:lvl>
  </w:abstractNum>
  <w:abstractNum w:abstractNumId="108">
    <w:nsid w:val="6B1D2C14"/>
    <w:multiLevelType w:val="hybridMultilevel"/>
    <w:lvl w:ilvl="0">
      <w:lvlJc w:val="left"/>
      <w:lvlText w:val="(%1)"/>
      <w:numFmt w:val="lowerLetter"/>
      <w:start w:val="3"/>
    </w:lvl>
    <w:lvl w:ilvl="1">
      <w:lvlJc w:val="left"/>
      <w:lvlText w:val="(%2)"/>
      <w:numFmt w:val="lowerRoman"/>
      <w:start w:val="1"/>
    </w:lvl>
  </w:abstractNum>
  <w:abstractNum w:abstractNumId="109">
    <w:nsid w:val="68B867D3"/>
    <w:multiLevelType w:val="hybridMultilevel"/>
    <w:lvl w:ilvl="0">
      <w:lvlJc w:val="left"/>
      <w:lvlText w:val="(%1)"/>
      <w:numFmt w:val="lowerRoman"/>
      <w:start w:val="4"/>
    </w:lvl>
  </w:abstractNum>
  <w:abstractNum w:abstractNumId="110">
    <w:nsid w:val="3F7F5DD9"/>
    <w:multiLevelType w:val="hybridMultilevel"/>
    <w:lvl w:ilvl="0">
      <w:lvlJc w:val="left"/>
      <w:lvlText w:val="(%1)"/>
      <w:numFmt w:val="lowerLetter"/>
      <w:start w:val="4"/>
    </w:lvl>
    <w:lvl w:ilvl="1">
      <w:lvlJc w:val="left"/>
      <w:lvlText w:val="(%2)"/>
      <w:numFmt w:val="lowerRoman"/>
      <w:start w:val="1"/>
    </w:lvl>
  </w:abstractNum>
  <w:abstractNum w:abstractNumId="111">
    <w:nsid w:val="2AE05A34"/>
    <w:multiLevelType w:val="hybridMultilevel"/>
    <w:lvl w:ilvl="0">
      <w:lvlJc w:val="left"/>
      <w:lvlText w:val="(%1)"/>
      <w:numFmt w:val="lowerLetter"/>
      <w:start w:val="8"/>
    </w:lvl>
  </w:abstractNum>
  <w:abstractNum w:abstractNumId="112">
    <w:nsid w:val="32794FF7"/>
    <w:multiLevelType w:val="hybridMultilevel"/>
    <w:lvl w:ilvl="0">
      <w:lvlJc w:val="left"/>
      <w:lvlText w:val="(%1)"/>
      <w:numFmt w:val="lowerLetter"/>
      <w:start w:val="1"/>
    </w:lvl>
  </w:abstractNum>
  <w:abstractNum w:abstractNumId="113">
    <w:nsid w:val="5454945E"/>
    <w:multiLevelType w:val="hybridMultilevel"/>
    <w:lvl w:ilvl="0">
      <w:lvlJc w:val="left"/>
      <w:lvlText w:val="(%1)"/>
      <w:numFmt w:val="lowerLetter"/>
      <w:start w:val="1"/>
    </w:lvl>
  </w:abstractNum>
  <w:abstractNum w:abstractNumId="114">
    <w:nsid w:val="4DEFDFA0"/>
    <w:multiLevelType w:val="hybridMultilevel"/>
    <w:lvl w:ilvl="0">
      <w:lvlJc w:val="left"/>
      <w:lvlText w:val="(%1)"/>
      <w:numFmt w:val="lowerLetter"/>
      <w:start w:val="2"/>
    </w:lvl>
  </w:abstractNum>
  <w:abstractNum w:abstractNumId="115">
    <w:nsid w:val="2123D5F2"/>
    <w:multiLevelType w:val="hybridMultilevel"/>
    <w:lvl w:ilvl="0">
      <w:lvlJc w:val="left"/>
      <w:lvlText w:val="(%1)"/>
      <w:numFmt w:val="lowerLetter"/>
      <w:start w:val="1"/>
    </w:lvl>
  </w:abstractNum>
  <w:abstractNum w:abstractNumId="116">
    <w:nsid w:val="135B8110"/>
    <w:multiLevelType w:val="hybridMultilevel"/>
    <w:lvl w:ilvl="0">
      <w:lvlJc w:val="left"/>
      <w:lvlText w:val="(%1)"/>
      <w:numFmt w:val="lowerLetter"/>
      <w:start w:val="1"/>
    </w:lvl>
  </w:abstractNum>
  <w:abstractNum w:abstractNumId="117">
    <w:nsid w:val="94927A8"/>
    <w:multiLevelType w:val="hybridMultilevel"/>
    <w:lvl w:ilvl="0">
      <w:lvlJc w:val="left"/>
      <w:lvlText w:val="%1"/>
      <w:numFmt w:val="lowerLetter"/>
      <w:start w:val="1"/>
    </w:lvl>
    <w:lvl w:ilvl="1">
      <w:lvlJc w:val="left"/>
      <w:lvlText w:val="(%2)"/>
      <w:numFmt w:val="lowerLetter"/>
      <w:start w:val="3"/>
    </w:lvl>
  </w:abstractNum>
  <w:abstractNum w:abstractNumId="118">
    <w:nsid w:val="DCDF8F6"/>
    <w:multiLevelType w:val="hybridMultilevel"/>
    <w:lvl w:ilvl="0">
      <w:lvlJc w:val="left"/>
      <w:lvlText w:val="(%1)"/>
      <w:numFmt w:val="lowerLetter"/>
      <w:start w:val="9"/>
    </w:lvl>
    <w:lvl w:ilvl="1">
      <w:lvlJc w:val="left"/>
      <w:lvlText w:val="%2"/>
      <w:numFmt w:val="lowerLetter"/>
      <w:start w:val="1"/>
    </w:lvl>
  </w:abstractNum>
  <w:abstractNum w:abstractNumId="119">
    <w:nsid w:val="52D7B105"/>
    <w:multiLevelType w:val="hybridMultilevel"/>
    <w:lvl w:ilvl="0">
      <w:lvlJc w:val="left"/>
      <w:lvlText w:val="(%1)"/>
      <w:numFmt w:val="lowerLetter"/>
      <w:start w:val="1"/>
    </w:lvl>
  </w:abstractNum>
  <w:abstractNum w:abstractNumId="120">
    <w:nsid w:val="2E8A6394"/>
    <w:multiLevelType w:val="hybridMultilevel"/>
    <w:lvl w:ilvl="0">
      <w:lvlJc w:val="left"/>
      <w:lvlText w:val="(%1)"/>
      <w:numFmt w:val="lowerLetter"/>
      <w:start w:val="2"/>
    </w:lvl>
  </w:abstractNum>
  <w:abstractNum w:abstractNumId="121">
    <w:nsid w:val="24E60401"/>
    <w:multiLevelType w:val="hybridMultilevel"/>
    <w:lvl w:ilvl="0">
      <w:lvlJc w:val="left"/>
      <w:lvlText w:val="(%1)"/>
      <w:numFmt w:val="lowerLetter"/>
      <w:start w:val="6"/>
    </w:lvl>
  </w:abstractNum>
  <w:abstractNum w:abstractNumId="122">
    <w:nsid w:val="2A6AD9BE"/>
    <w:multiLevelType w:val="hybridMultilevel"/>
    <w:lvl w:ilvl="0">
      <w:lvlJc w:val="left"/>
      <w:lvlText w:val="(%1)"/>
      <w:numFmt w:val="lowerLetter"/>
      <w:start w:val="1"/>
    </w:lvl>
  </w:abstractNum>
  <w:abstractNum w:abstractNumId="123">
    <w:nsid w:val="BAAC1B4"/>
    <w:multiLevelType w:val="hybridMultilevel"/>
    <w:lvl w:ilvl="0">
      <w:lvlJc w:val="left"/>
      <w:lvlText w:val="(%1)"/>
      <w:numFmt w:val="lowerRoman"/>
      <w:start w:val="1"/>
    </w:lvl>
  </w:abstractNum>
  <w:abstractNum w:abstractNumId="124">
    <w:nsid w:val="36B2ACBC"/>
    <w:multiLevelType w:val="hybridMultilevel"/>
    <w:lvl w:ilvl="0">
      <w:lvlJc w:val="left"/>
      <w:lvlText w:val="(%1)"/>
      <w:numFmt w:val="lowerRoman"/>
      <w:start w:val="2"/>
    </w:lvl>
  </w:abstractNum>
  <w:abstractNum w:abstractNumId="125">
    <w:nsid w:val="779D8544"/>
    <w:multiLevelType w:val="hybridMultilevel"/>
    <w:lvl w:ilvl="0">
      <w:lvlJc w:val="left"/>
      <w:lvlText w:val="(%1)"/>
      <w:numFmt w:val="lowerLetter"/>
      <w:start w:val="1"/>
    </w:lvl>
  </w:abstractNum>
  <w:abstractNum w:abstractNumId="126">
    <w:nsid w:val="4AB26E78"/>
    <w:multiLevelType w:val="hybridMultilevel"/>
    <w:lvl w:ilvl="0">
      <w:lvlJc w:val="left"/>
      <w:lvlText w:val="(%1)"/>
      <w:numFmt w:val="lowerLetter"/>
      <w:start w:val="5"/>
    </w:lvl>
  </w:abstractNum>
  <w:abstractNum w:abstractNumId="127">
    <w:nsid w:val="21FAA2FA"/>
    <w:multiLevelType w:val="hybridMultilevel"/>
    <w:lvl w:ilvl="0">
      <w:lvlJc w:val="left"/>
      <w:lvlText w:val="(%1)"/>
      <w:numFmt w:val="lowerLetter"/>
      <w:start w:val="1"/>
    </w:lvl>
  </w:abstractNum>
  <w:abstractNum w:abstractNumId="128">
    <w:nsid w:val="5451CF49"/>
    <w:multiLevelType w:val="hybridMultilevel"/>
    <w:lvl w:ilvl="0">
      <w:lvlJc w:val="left"/>
      <w:lvlText w:val="(%1)"/>
      <w:numFmt w:val="lowerLetter"/>
      <w:start w:val="1"/>
    </w:lvl>
  </w:abstractNum>
  <w:abstractNum w:abstractNumId="129">
    <w:nsid w:val="6181EF69"/>
    <w:multiLevelType w:val="hybridMultilevel"/>
    <w:lvl w:ilvl="0">
      <w:lvlJc w:val="left"/>
      <w:lvlText w:val="(%1)"/>
      <w:numFmt w:val="lowerLetter"/>
      <w:start w:val="4"/>
    </w:lvl>
  </w:abstractNum>
  <w:abstractNum w:abstractNumId="130">
    <w:nsid w:val="3E6400E6"/>
    <w:multiLevelType w:val="hybridMultilevel"/>
    <w:lvl w:ilvl="0">
      <w:lvlJc w:val="left"/>
      <w:lvlText w:val="(%1)"/>
      <w:numFmt w:val="lowerLetter"/>
      <w:start w:val="1"/>
    </w:lvl>
    <w:lvl w:ilvl="1">
      <w:lvlJc w:val="left"/>
      <w:lvlText w:val="(%2)"/>
      <w:numFmt w:val="lowerRoman"/>
      <w:start w:val="1"/>
    </w:lvl>
  </w:abstractNum>
  <w:abstractNum w:abstractNumId="131">
    <w:nsid w:val="14217E23"/>
    <w:multiLevelType w:val="hybridMultilevel"/>
    <w:lvl w:ilvl="0">
      <w:lvlJc w:val="left"/>
      <w:lvlText w:val="(%1)"/>
      <w:numFmt w:val="lowerLetter"/>
      <w:start w:val="2"/>
    </w:lvl>
  </w:abstractNum>
  <w:abstractNum w:abstractNumId="132">
    <w:nsid w:val="710757D0"/>
    <w:multiLevelType w:val="hybridMultilevel"/>
    <w:lvl w:ilvl="0">
      <w:lvlJc w:val="left"/>
      <w:lvlText w:val="(%1)"/>
      <w:numFmt w:val="lowerLetter"/>
      <w:start w:val="3"/>
    </w:lvl>
  </w:abstractNum>
  <w:abstractNum w:abstractNumId="133">
    <w:nsid w:val="5015CD1A"/>
    <w:multiLevelType w:val="hybridMultilevel"/>
    <w:lvl w:ilvl="0">
      <w:lvlJc w:val="left"/>
      <w:lvlText w:val="(%1)"/>
      <w:numFmt w:val="lowerLetter"/>
      <w:start w:val="1"/>
    </w:lvl>
    <w:lvl w:ilvl="1">
      <w:lvlJc w:val="left"/>
      <w:lvlText w:val="(%2)"/>
      <w:numFmt w:val="lowerLetter"/>
      <w:start w:val="9"/>
    </w:lvl>
  </w:abstractNum>
  <w:abstractNum w:abstractNumId="134">
    <w:nsid w:val="424479DA"/>
    <w:multiLevelType w:val="hybridMultilevel"/>
    <w:lvl w:ilvl="0">
      <w:lvlJc w:val="left"/>
      <w:lvlText w:val="(%1)"/>
      <w:numFmt w:val="lowerRoman"/>
      <w:start w:val="2"/>
    </w:lvl>
  </w:abstractNum>
  <w:abstractNum w:abstractNumId="135">
    <w:nsid w:val="1A9A9E69"/>
    <w:multiLevelType w:val="hybridMultilevel"/>
    <w:lvl w:ilvl="0">
      <w:lvlJc w:val="left"/>
      <w:lvlText w:val="(%1)"/>
      <w:numFmt w:val="lowerLetter"/>
      <w:start w:val="2"/>
    </w:lvl>
    <w:lvl w:ilvl="1">
      <w:lvlJc w:val="left"/>
      <w:lvlText w:val="(%2)"/>
      <w:numFmt w:val="lowerRoman"/>
      <w:start w:val="1"/>
    </w:lvl>
  </w:abstractNum>
  <w:abstractNum w:abstractNumId="136">
    <w:nsid w:val="475E256A"/>
    <w:multiLevelType w:val="hybridMultilevel"/>
    <w:lvl w:ilvl="0">
      <w:lvlJc w:val="left"/>
      <w:lvlText w:val="(%1)"/>
      <w:numFmt w:val="lowerRoman"/>
      <w:start w:val="4"/>
    </w:lvl>
  </w:abstractNum>
  <w:abstractNum w:abstractNumId="137">
    <w:nsid w:val="368DB37E"/>
    <w:multiLevelType w:val="hybridMultilevel"/>
    <w:lvl w:ilvl="0">
      <w:lvlJc w:val="left"/>
      <w:lvlText w:val="(%1)"/>
      <w:numFmt w:val="lowerLetter"/>
      <w:start w:val="1"/>
    </w:lvl>
  </w:abstractNum>
  <w:abstractNum w:abstractNumId="138">
    <w:nsid w:val="6A3B714C"/>
    <w:multiLevelType w:val="hybridMultilevel"/>
    <w:lvl w:ilvl="0">
      <w:lvlJc w:val="left"/>
      <w:lvlText w:val="(%1)"/>
      <w:numFmt w:val="lowerLetter"/>
      <w:start w:val="4"/>
    </w:lvl>
    <w:lvl w:ilvl="1">
      <w:lvlJc w:val="left"/>
      <w:lvlText w:val="(%2)"/>
      <w:numFmt w:val="lowerRoman"/>
      <w:start w:val="1"/>
    </w:lvl>
  </w:abstractNum>
  <w:abstractNum w:abstractNumId="139">
    <w:nsid w:val="327B517E"/>
    <w:multiLevelType w:val="hybridMultilevel"/>
    <w:lvl w:ilvl="0">
      <w:lvlJc w:val="left"/>
      <w:lvlText w:val="(%1)"/>
      <w:numFmt w:val="upperLetter"/>
      <w:start w:val="1"/>
    </w:lvl>
    <w:lvl w:ilvl="1">
      <w:lvlJc w:val="left"/>
      <w:lvlText w:val="(%2)"/>
      <w:numFmt w:val="decimal"/>
      <w:start w:val="1"/>
    </w:lvl>
  </w:abstractNum>
  <w:abstractNum w:abstractNumId="140">
    <w:nsid w:val="1F461B51"/>
    <w:multiLevelType w:val="hybridMultilevel"/>
    <w:lvl w:ilvl="0">
      <w:lvlJc w:val="left"/>
      <w:lvlText w:val="(%1)"/>
      <w:numFmt w:val="upperLetter"/>
      <w:start w:val="3"/>
    </w:lvl>
  </w:abstractNum>
  <w:abstractNum w:abstractNumId="141">
    <w:nsid w:val="29BACF25"/>
    <w:multiLevelType w:val="hybridMultilevel"/>
    <w:lvl w:ilvl="0">
      <w:lvlJc w:val="left"/>
      <w:lvlText w:val="(%1)"/>
      <w:numFmt w:val="upperLetter"/>
      <w:start w:val="4"/>
    </w:lvl>
  </w:abstractNum>
  <w:abstractNum w:abstractNumId="142">
    <w:nsid w:val="5D5BABB3"/>
    <w:multiLevelType w:val="hybridMultilevel"/>
    <w:lvl w:ilvl="0">
      <w:lvlJc w:val="left"/>
      <w:lvlText w:val="(%1)"/>
      <w:numFmt w:val="lowerLetter"/>
      <w:start w:val="8"/>
    </w:lvl>
  </w:abstractNum>
  <w:abstractNum w:abstractNumId="143">
    <w:nsid w:val="51BF6B48"/>
    <w:multiLevelType w:val="hybridMultilevel"/>
    <w:lvl w:ilvl="0">
      <w:lvlJc w:val="left"/>
      <w:lvlText w:val="(%1)"/>
      <w:numFmt w:val="lowerLetter"/>
      <w:start w:val="1"/>
    </w:lvl>
  </w:abstractNum>
  <w:abstractNum w:abstractNumId="144">
    <w:nsid w:val="7E0F6384"/>
    <w:multiLevelType w:val="hybridMultilevel"/>
    <w:lvl w:ilvl="0">
      <w:lvlJc w:val="left"/>
      <w:lvlText w:val="(%1)"/>
      <w:numFmt w:val="lowerLetter"/>
      <w:start w:val="2"/>
    </w:lvl>
  </w:abstractNum>
  <w:abstractNum w:abstractNumId="145">
    <w:nsid w:val="2B4B8B53"/>
    <w:multiLevelType w:val="hybridMultilevel"/>
    <w:lvl w:ilvl="0">
      <w:lvlJc w:val="left"/>
      <w:lvlText w:val="(%1)"/>
      <w:numFmt w:val="lowerLetter"/>
      <w:start w:val="1"/>
    </w:lvl>
    <w:lvl w:ilvl="1">
      <w:lvlJc w:val="left"/>
      <w:lvlText w:val="(%2)"/>
      <w:numFmt w:val="lowerRoman"/>
      <w:start w:val="1"/>
    </w:lvl>
  </w:abstractNum>
  <w:abstractNum w:abstractNumId="146">
    <w:nsid w:val="72E3413A"/>
    <w:multiLevelType w:val="hybridMultilevel"/>
    <w:lvl w:ilvl="0">
      <w:lvlJc w:val="left"/>
      <w:lvlText w:val="(%1)"/>
      <w:numFmt w:val="lowerRoman"/>
      <w:start w:val="5"/>
    </w:lvl>
  </w:abstractNum>
  <w:abstractNum w:abstractNumId="147">
    <w:nsid w:val="116AE494"/>
    <w:multiLevelType w:val="hybridMultilevel"/>
    <w:lvl w:ilvl="0">
      <w:lvlJc w:val="left"/>
      <w:lvlText w:val="(%1)"/>
      <w:numFmt w:val="lowerLetter"/>
      <w:start w:val="1"/>
    </w:lvl>
  </w:abstractNum>
  <w:abstractNum w:abstractNumId="148">
    <w:nsid w:val="3494B2FB"/>
    <w:multiLevelType w:val="hybridMultilevel"/>
    <w:lvl w:ilvl="0">
      <w:lvlJc w:val="left"/>
      <w:lvlText w:val="(%1)"/>
      <w:numFmt w:val="lowerLetter"/>
      <w:start w:val="8"/>
    </w:lvl>
  </w:abstractNum>
  <w:abstractNum w:abstractNumId="149">
    <w:nsid w:val="B13A31"/>
    <w:multiLevelType w:val="hybridMultilevel"/>
    <w:lvl w:ilvl="0">
      <w:lvlJc w:val="left"/>
      <w:lvlText w:val="(%1)"/>
      <w:numFmt w:val="lowerLetter"/>
      <w:start w:val="20"/>
    </w:lvl>
  </w:abstractNum>
  <w:abstractNum w:abstractNumId="150">
    <w:nsid w:val="64429599"/>
    <w:multiLevelType w:val="hybridMultilevel"/>
    <w:lvl w:ilvl="0">
      <w:lvlJc w:val="left"/>
      <w:lvlText w:val="(%1)"/>
      <w:numFmt w:val="lowerLetter"/>
      <w:start w:val="1"/>
    </w:lvl>
  </w:abstractNum>
  <w:abstractNum w:abstractNumId="151">
    <w:nsid w:val="631F1690"/>
    <w:multiLevelType w:val="hybridMultilevel"/>
    <w:lvl w:ilvl="0">
      <w:lvlJc w:val="left"/>
      <w:lvlText w:val="(%1)"/>
      <w:numFmt w:val="lowerLetter"/>
      <w:start w:val="5"/>
    </w:lvl>
  </w:abstractNum>
  <w:abstractNum w:abstractNumId="152">
    <w:nsid w:val="25973E32"/>
    <w:multiLevelType w:val="hybridMultilevel"/>
    <w:lvl w:ilvl="0">
      <w:lvlJc w:val="left"/>
      <w:lvlText w:val="(%1)"/>
      <w:numFmt w:val="lowerLetter"/>
      <w:start w:val="3"/>
    </w:lvl>
  </w:abstractNum>
  <w:abstractNum w:abstractNumId="153">
    <w:nsid w:val="EAD6F57"/>
    <w:multiLevelType w:val="hybridMultilevel"/>
    <w:lvl w:ilvl="0">
      <w:lvlJc w:val="left"/>
      <w:lvlText w:val="(%1)"/>
      <w:numFmt w:val="lowerLetter"/>
      <w:start w:val="1"/>
    </w:lvl>
  </w:abstractNum>
  <w:abstractNum w:abstractNumId="154">
    <w:nsid w:val="6EC9D844"/>
    <w:multiLevelType w:val="hybridMultilevel"/>
    <w:lvl w:ilvl="0">
      <w:lvlJc w:val="left"/>
      <w:lvlText w:val="(%1)"/>
      <w:numFmt w:val="lowerLetter"/>
      <w:start w:val="1"/>
    </w:lvl>
  </w:abstractNum>
  <w:abstractNum w:abstractNumId="155">
    <w:nsid w:val="5C49EAEE"/>
    <w:multiLevelType w:val="hybridMultilevel"/>
    <w:lvl w:ilvl="0">
      <w:lvlJc w:val="left"/>
      <w:lvlText w:val="(%1)"/>
      <w:numFmt w:val="lowerLetter"/>
      <w:start w:val="1"/>
    </w:lvl>
  </w:abstractNum>
  <w:abstractNum w:abstractNumId="156">
    <w:nsid w:val="64AF49B"/>
    <w:multiLevelType w:val="hybridMultilevel"/>
    <w:lvl w:ilvl="0">
      <w:lvlJc w:val="left"/>
      <w:lvlText w:val="(%1)"/>
      <w:numFmt w:val="lowerLetter"/>
      <w:start w:val="2"/>
    </w:lvl>
  </w:abstractNum>
  <w:abstractNum w:abstractNumId="157">
    <w:nsid w:val="397C46BC"/>
    <w:multiLevelType w:val="hybridMultilevel"/>
    <w:lvl w:ilvl="0">
      <w:lvlJc w:val="left"/>
      <w:lvlText w:val="(%1)"/>
      <w:numFmt w:val="lowerLetter"/>
      <w:start w:val="1"/>
    </w:lvl>
  </w:abstractNum>
  <w:abstractNum w:abstractNumId="158">
    <w:nsid w:val="7E448DE9"/>
    <w:multiLevelType w:val="hybridMultilevel"/>
    <w:lvl w:ilvl="0">
      <w:lvlJc w:val="left"/>
      <w:lvlText w:val="(%1)"/>
      <w:numFmt w:val="lowerLetter"/>
      <w:start w:val="1"/>
    </w:lvl>
  </w:abstractNum>
  <w:abstractNum w:abstractNumId="159">
    <w:nsid w:val="5A9CC3E5"/>
    <w:multiLevelType w:val="hybridMultilevel"/>
    <w:lvl w:ilvl="0">
      <w:lvlJc w:val="left"/>
      <w:lvlText w:val="(%1)"/>
      <w:numFmt w:val="lowerLetter"/>
      <w:start w:val="4"/>
    </w:lvl>
  </w:abstractNum>
  <w:abstractNum w:abstractNumId="160">
    <w:nsid w:val="1AFE3625"/>
    <w:multiLevelType w:val="hybridMultilevel"/>
    <w:lvl w:ilvl="0">
      <w:lvlJc w:val="left"/>
      <w:lvlText w:val="(%1)"/>
      <w:numFmt w:val="lowerLetter"/>
      <w:start w:val="7"/>
    </w:lvl>
  </w:abstractNum>
  <w:abstractNum w:abstractNumId="161">
    <w:nsid w:val="3CA88ECF"/>
    <w:multiLevelType w:val="hybridMultilevel"/>
    <w:lvl w:ilvl="0">
      <w:lvlJc w:val="left"/>
      <w:lvlText w:val="(%1)"/>
      <w:numFmt w:val="lowerLetter"/>
      <w:start w:val="9"/>
    </w:lvl>
  </w:abstractNum>
  <w:abstractNum w:abstractNumId="162">
    <w:nsid w:val="6EBE4208"/>
    <w:multiLevelType w:val="hybridMultilevel"/>
    <w:lvl w:ilvl="0">
      <w:lvlJc w:val="left"/>
      <w:lvlText w:val="(%1)"/>
      <w:numFmt w:val="lowerLetter"/>
      <w:start w:val="18"/>
    </w:lvl>
  </w:abstractNum>
  <w:abstractNum w:abstractNumId="163">
    <w:nsid w:val="C058DF5"/>
    <w:multiLevelType w:val="hybridMultilevel"/>
    <w:lvl w:ilvl="0">
      <w:lvlJc w:val="left"/>
      <w:lvlText w:val="(%1)"/>
      <w:numFmt w:val="lowerLetter"/>
      <w:start w:val="1"/>
    </w:lvl>
    <w:lvl w:ilvl="1">
      <w:lvlJc w:val="left"/>
      <w:lvlText w:val="(%2)"/>
      <w:numFmt w:val="lowerLetter"/>
      <w:start w:val="9"/>
    </w:lvl>
  </w:abstractNum>
  <w:abstractNum w:abstractNumId="164">
    <w:nsid w:val="CBE5BE9"/>
    <w:multiLevelType w:val="hybridMultilevel"/>
    <w:lvl w:ilvl="0">
      <w:lvlJc w:val="left"/>
      <w:lvlText w:val="(%1)"/>
      <w:numFmt w:val="lowerRoman"/>
      <w:start w:val="2"/>
    </w:lvl>
  </w:abstractNum>
  <w:abstractNum w:abstractNumId="165">
    <w:nsid w:val="3102BBE2"/>
    <w:multiLevelType w:val="hybridMultilevel"/>
    <w:lvl w:ilvl="0">
      <w:lvlJc w:val="left"/>
      <w:lvlText w:val="(%1)"/>
      <w:numFmt w:val="lowerLetter"/>
      <w:start w:val="1"/>
    </w:lvl>
  </w:abstractNum>
  <w:abstractNum w:abstractNumId="166">
    <w:nsid w:val="26A02C5E"/>
    <w:multiLevelType w:val="hybridMultilevel"/>
    <w:lvl w:ilvl="0">
      <w:lvlJc w:val="left"/>
      <w:lvlText w:val="(%1)"/>
      <w:numFmt w:val="lowerLetter"/>
      <w:start w:val="2"/>
    </w:lvl>
  </w:abstractNum>
  <w:abstractNum w:abstractNumId="167">
    <w:nsid w:val="541C8153"/>
    <w:multiLevelType w:val="hybridMultilevel"/>
    <w:lvl w:ilvl="0">
      <w:lvlJc w:val="left"/>
      <w:lvlText w:val="(%1)"/>
      <w:numFmt w:val="lowerLetter"/>
      <w:start w:val="1"/>
    </w:lvl>
  </w:abstractNum>
  <w:abstractNum w:abstractNumId="168">
    <w:nsid w:val="67906F60"/>
    <w:multiLevelType w:val="hybridMultilevel"/>
    <w:lvl w:ilvl="0">
      <w:lvlJc w:val="left"/>
      <w:lvlText w:val="(%1)"/>
      <w:numFmt w:val="lowerLetter"/>
      <w:start w:val="2"/>
    </w:lvl>
  </w:abstractNum>
  <w:abstractNum w:abstractNumId="169">
    <w:nsid w:val="10DB9DAA"/>
    <w:multiLevelType w:val="hybridMultilevel"/>
    <w:lvl w:ilvl="0">
      <w:lvlJc w:val="left"/>
      <w:lvlText w:val="(%1)"/>
      <w:numFmt w:val="lowerLetter"/>
      <w:start w:val="1"/>
    </w:lvl>
  </w:abstractNum>
  <w:abstractNum w:abstractNumId="170">
    <w:nsid w:val="697D2D2"/>
    <w:multiLevelType w:val="hybridMultilevel"/>
    <w:lvl w:ilvl="0">
      <w:lvlJc w:val="left"/>
      <w:lvlText w:val="(%1)"/>
      <w:numFmt w:val="lowerLetter"/>
      <w:start w:val="1"/>
    </w:lvl>
  </w:abstractNum>
  <w:abstractNum w:abstractNumId="171">
    <w:nsid w:val="6D68AB2"/>
    <w:multiLevelType w:val="hybridMultilevel"/>
    <w:lvl w:ilvl="0">
      <w:lvlJc w:val="left"/>
      <w:lvlText w:val="(%1)"/>
      <w:numFmt w:val="lowerLetter"/>
      <w:start w:val="5"/>
    </w:lvl>
  </w:abstractNum>
  <w:abstractNum w:abstractNumId="172">
    <w:nsid w:val="3A966CD0"/>
    <w:multiLevelType w:val="hybridMultilevel"/>
    <w:lvl w:ilvl="0">
      <w:lvlJc w:val="left"/>
      <w:lvlText w:val="(%1)"/>
      <w:numFmt w:val="lowerLetter"/>
      <w:start w:val="1"/>
    </w:lvl>
  </w:abstractNum>
  <w:abstractNum w:abstractNumId="173">
    <w:nsid w:val="63F37E85"/>
    <w:multiLevelType w:val="hybridMultilevel"/>
    <w:lvl w:ilvl="0">
      <w:lvlJc w:val="left"/>
      <w:lvlText w:val="(%1)"/>
      <w:numFmt w:val="lowerLetter"/>
      <w:start w:val="2"/>
    </w:lvl>
  </w:abstractNum>
  <w:abstractNum w:abstractNumId="174">
    <w:nsid w:val="5895F5FA"/>
    <w:multiLevelType w:val="hybridMultilevel"/>
    <w:lvl w:ilvl="0">
      <w:lvlJc w:val="left"/>
      <w:lvlText w:val="(%1)"/>
      <w:numFmt w:val="lowerLetter"/>
      <w:start w:val="1"/>
    </w:lvl>
  </w:abstractNum>
  <w:abstractNum w:abstractNumId="175">
    <w:nsid w:val="38A5D054"/>
    <w:multiLevelType w:val="hybridMultilevel"/>
    <w:lvl w:ilvl="0">
      <w:lvlJc w:val="left"/>
      <w:lvlText w:val="(%1)"/>
      <w:numFmt w:val="lowerLetter"/>
      <w:start w:val="1"/>
    </w:lvl>
  </w:abstractNum>
  <w:abstractNum w:abstractNumId="176">
    <w:nsid w:val="F3F09D8"/>
    <w:multiLevelType w:val="hybridMultilevel"/>
    <w:lvl w:ilvl="0">
      <w:lvlJc w:val="left"/>
      <w:lvlText w:val="(%1)"/>
      <w:numFmt w:val="lowerLetter"/>
      <w:start w:val="7"/>
    </w:lvl>
  </w:abstractNum>
  <w:abstractNum w:abstractNumId="177">
    <w:nsid w:val="4B793735"/>
    <w:multiLevelType w:val="hybridMultilevel"/>
    <w:lvl w:ilvl="0">
      <w:lvlJc w:val="left"/>
      <w:lvlText w:val="(%1)"/>
      <w:numFmt w:val="lowerLetter"/>
      <w:start w:val="14"/>
    </w:lvl>
  </w:abstractNum>
  <w:abstractNum w:abstractNumId="178">
    <w:nsid w:val="4A10B4E8"/>
    <w:multiLevelType w:val="hybridMultilevel"/>
    <w:lvl w:ilvl="0">
      <w:lvlJc w:val="left"/>
      <w:lvlText w:val="(%1)"/>
      <w:numFmt w:val="lowerLetter"/>
      <w:start w:val="1"/>
    </w:lvl>
  </w:abstractNum>
  <w:abstractNum w:abstractNumId="179">
    <w:nsid w:val="43D3BCD4"/>
    <w:multiLevelType w:val="hybridMultilevel"/>
    <w:lvl w:ilvl="0">
      <w:lvlJc w:val="left"/>
      <w:lvlText w:val="(%1)"/>
      <w:numFmt w:val="lowerLetter"/>
      <w:start w:val="2"/>
    </w:lvl>
  </w:abstractNum>
  <w:abstractNum w:abstractNumId="180">
    <w:nsid w:val="4C2A7166"/>
    <w:multiLevelType w:val="hybridMultilevel"/>
    <w:lvl w:ilvl="0">
      <w:lvlJc w:val="left"/>
      <w:lvlText w:val="(%1)"/>
      <w:numFmt w:val="lowerLetter"/>
      <w:start w:val="1"/>
    </w:lvl>
  </w:abstractNum>
  <w:abstractNum w:abstractNumId="181">
    <w:nsid w:val="2E534A82"/>
    <w:multiLevelType w:val="hybridMultilevel"/>
    <w:lvl w:ilvl="0">
      <w:lvlJc w:val="left"/>
      <w:lvlText w:val="(%1)"/>
      <w:numFmt w:val="lowerLetter"/>
      <w:start w:val="1"/>
    </w:lvl>
    <w:lvl w:ilvl="1">
      <w:lvlJc w:val="left"/>
      <w:lvlText w:val="(%2)"/>
      <w:numFmt w:val="lowerRoman"/>
      <w:start w:val="1"/>
    </w:lvl>
  </w:abstractNum>
  <w:abstractNum w:abstractNumId="182">
    <w:nsid w:val="26F2D364"/>
    <w:multiLevelType w:val="hybridMultilevel"/>
    <w:lvl w:ilvl="0">
      <w:lvlJc w:val="left"/>
      <w:lvlText w:val="(%1)"/>
      <w:numFmt w:val="lowerLetter"/>
      <w:start w:val="1"/>
    </w:lvl>
  </w:abstractNum>
  <w:abstractNum w:abstractNumId="183">
    <w:nsid w:val="71C1AF98"/>
    <w:multiLevelType w:val="hybridMultilevel"/>
    <w:lvl w:ilvl="0">
      <w:lvlJc w:val="left"/>
      <w:lvlText w:val="(%1)"/>
      <w:numFmt w:val="lowerLetter"/>
      <w:start w:val="3"/>
    </w:lvl>
  </w:abstractNum>
  <w:abstractNum w:abstractNumId="184">
    <w:nsid w:val="3D00B9D9"/>
    <w:multiLevelType w:val="hybridMultilevel"/>
    <w:lvl w:ilvl="0">
      <w:lvlJc w:val="left"/>
      <w:lvlText w:val="(%1)"/>
      <w:numFmt w:val="lowerLetter"/>
      <w:start w:val="1"/>
    </w:lvl>
  </w:abstractNum>
  <w:abstractNum w:abstractNumId="185">
    <w:nsid w:val="15BCABA8"/>
    <w:multiLevelType w:val="hybridMultilevel"/>
    <w:lvl w:ilvl="0">
      <w:lvlJc w:val="left"/>
      <w:lvlText w:val="(%1)"/>
      <w:numFmt w:val="lowerLetter"/>
      <w:start w:val="1"/>
    </w:lvl>
    <w:lvl w:ilvl="1">
      <w:lvlJc w:val="left"/>
      <w:lvlText w:val="(%2)"/>
      <w:numFmt w:val="lowerLetter"/>
      <w:start w:val="9"/>
    </w:lvl>
  </w:abstractNum>
  <w:abstractNum w:abstractNumId="186">
    <w:nsid w:val="4E0B9A87"/>
    <w:multiLevelType w:val="hybridMultilevel"/>
    <w:lvl w:ilvl="0">
      <w:lvlJc w:val="left"/>
      <w:lvlText w:val="(%1)"/>
      <w:numFmt w:val="lowerRoman"/>
      <w:start w:val="2"/>
    </w:lvl>
  </w:abstractNum>
  <w:abstractNum w:abstractNumId="187">
    <w:nsid w:val="434BAE75"/>
    <w:multiLevelType w:val="hybridMultilevel"/>
    <w:lvl w:ilvl="0">
      <w:lvlJc w:val="left"/>
      <w:lvlText w:val="(%1)"/>
      <w:numFmt w:val="lowerLetter"/>
      <w:start w:val="2"/>
    </w:lvl>
  </w:abstractNum>
  <w:abstractNum w:abstractNumId="188">
    <w:nsid w:val="4F38F265"/>
    <w:multiLevelType w:val="hybridMultilevel"/>
    <w:lvl w:ilvl="0">
      <w:lvlJc w:val="left"/>
      <w:lvlText w:val="(%1)"/>
      <w:numFmt w:val="lowerLetter"/>
      <w:start w:val="1"/>
    </w:lvl>
    <w:lvl w:ilvl="1">
      <w:lvlJc w:val="left"/>
      <w:lvlText w:val="(%2)"/>
      <w:numFmt w:val="lowerLetter"/>
      <w:start w:val="9"/>
    </w:lvl>
  </w:abstractNum>
  <w:abstractNum w:abstractNumId="189">
    <w:nsid w:val="4C502870"/>
    <w:multiLevelType w:val="hybridMultilevel"/>
    <w:lvl w:ilvl="0">
      <w:lvlJc w:val="left"/>
      <w:lvlText w:val="%1"/>
      <w:numFmt w:val="lowerLetter"/>
      <w:start w:val="1"/>
    </w:lvl>
    <w:lvl w:ilvl="1">
      <w:lvlJc w:val="left"/>
      <w:lvlText w:val="(%2)"/>
      <w:numFmt w:val="lowerRoman"/>
      <w:start w:val="2"/>
    </w:lvl>
  </w:abstractNum>
  <w:abstractNum w:abstractNumId="190">
    <w:nsid w:val="1DE8725A"/>
    <w:multiLevelType w:val="hybridMultilevel"/>
    <w:lvl w:ilvl="0">
      <w:lvlJc w:val="left"/>
      <w:lvlText w:val="(%1)"/>
      <w:numFmt w:val="lowerLetter"/>
      <w:start w:val="2"/>
    </w:lvl>
    <w:lvl w:ilvl="1">
      <w:lvlJc w:val="left"/>
      <w:lvlText w:val="%2"/>
      <w:numFmt w:val="lowerRoman"/>
      <w:start w:val="1"/>
    </w:lvl>
  </w:abstractNum>
  <w:abstractNum w:abstractNumId="191">
    <w:nsid w:val="6A37288A"/>
    <w:multiLevelType w:val="hybridMultilevel"/>
    <w:lvl w:ilvl="0">
      <w:lvlJc w:val="left"/>
      <w:lvlText w:val="(%1)"/>
      <w:numFmt w:val="lowerLetter"/>
      <w:start w:val="1"/>
    </w:lvl>
  </w:abstractNum>
  <w:abstractNum w:abstractNumId="192">
    <w:nsid w:val="8F8B73F"/>
    <w:multiLevelType w:val="hybridMultilevel"/>
    <w:lvl w:ilvl="0">
      <w:lvlJc w:val="left"/>
      <w:lvlText w:val="(%1)"/>
      <w:numFmt w:val="lowerLetter"/>
      <w:start w:val="2"/>
    </w:lvl>
  </w:abstractNum>
  <w:abstractNum w:abstractNumId="193">
    <w:nsid w:val="CA6B462"/>
    <w:multiLevelType w:val="hybridMultilevel"/>
    <w:lvl w:ilvl="0">
      <w:lvlJc w:val="left"/>
      <w:lvlText w:val="(%1)"/>
      <w:numFmt w:val="lowerLetter"/>
      <w:start w:val="1"/>
    </w:lvl>
  </w:abstractNum>
  <w:abstractNum w:abstractNumId="194">
    <w:nsid w:val="763CB680"/>
    <w:multiLevelType w:val="hybridMultilevel"/>
    <w:lvl w:ilvl="0">
      <w:lvlJc w:val="left"/>
      <w:lvlText w:val="(%1)"/>
      <w:numFmt w:val="lowerLetter"/>
      <w:start w:val="2"/>
    </w:lvl>
  </w:abstractNum>
  <w:abstractNum w:abstractNumId="195">
    <w:nsid w:val="15B71329"/>
    <w:multiLevelType w:val="hybridMultilevel"/>
    <w:lvl w:ilvl="0">
      <w:lvlJc w:val="left"/>
      <w:lvlText w:val="(%1)"/>
      <w:numFmt w:val="lowerLetter"/>
      <w:start w:val="4"/>
    </w:lvl>
    <w:lvl w:ilvl="1">
      <w:lvlJc w:val="left"/>
      <w:lvlText w:val="(%2)"/>
      <w:numFmt w:val="lowerLetter"/>
      <w:start w:val="1"/>
    </w:lvl>
  </w:abstractNum>
  <w:abstractNum w:abstractNumId="196">
    <w:nsid w:val="3DA97044"/>
    <w:multiLevelType w:val="hybridMultilevel"/>
    <w:lvl w:ilvl="0">
      <w:lvlJc w:val="left"/>
      <w:lvlText w:val="(%1)"/>
      <w:numFmt w:val="lowerLetter"/>
      <w:start w:val="2"/>
    </w:lvl>
    <w:lvl w:ilvl="1">
      <w:lvlJc w:val="left"/>
      <w:lvlText w:val="(%2)"/>
      <w:numFmt w:val="lowerRoman"/>
      <w:start w:val="1"/>
    </w:lvl>
  </w:abstractNum>
  <w:abstractNum w:abstractNumId="197">
    <w:nsid w:val="1CDCE2DE"/>
    <w:multiLevelType w:val="hybridMultilevel"/>
    <w:lvl w:ilvl="0">
      <w:lvlJc w:val="left"/>
      <w:lvlText w:val="(%1)"/>
      <w:numFmt w:val="lowerRoman"/>
      <w:start w:val="5"/>
    </w:lvl>
  </w:abstractNum>
  <w:abstractNum w:abstractNumId="198">
    <w:nsid w:val="69D3947C"/>
    <w:multiLevelType w:val="hybridMultilevel"/>
    <w:lvl w:ilvl="0">
      <w:lvlJc w:val="left"/>
      <w:lvlText w:val="(%1)"/>
      <w:numFmt w:val="lowerLetter"/>
      <w:start w:val="3"/>
    </w:lvl>
  </w:abstractNum>
  <w:abstractNum w:abstractNumId="199">
    <w:nsid w:val="2539DFA5"/>
    <w:multiLevelType w:val="hybridMultilevel"/>
    <w:lvl w:ilvl="0">
      <w:lvlJc w:val="left"/>
      <w:lvlText w:val="(%1)"/>
      <w:numFmt w:val="lowerLetter"/>
      <w:start w:val="4"/>
    </w:lvl>
  </w:abstractNum>
  <w:abstractNum w:abstractNumId="200">
    <w:nsid w:val="2DB88089"/>
    <w:multiLevelType w:val="hybridMultilevel"/>
    <w:lvl w:ilvl="0">
      <w:lvlJc w:val="left"/>
      <w:lvlText w:val="(%1)"/>
      <w:numFmt w:val="lowerLetter"/>
      <w:start w:val="5"/>
    </w:lvl>
  </w:abstractNum>
  <w:abstractNum w:abstractNumId="201">
    <w:nsid w:val="706B674E"/>
    <w:multiLevelType w:val="hybridMultilevel"/>
    <w:lvl w:ilvl="0">
      <w:lvlJc w:val="left"/>
      <w:lvlText w:val="(%1)"/>
      <w:numFmt w:val="lowerLetter"/>
      <w:start w:val="6"/>
    </w:lvl>
  </w:abstractNum>
  <w:abstractNum w:abstractNumId="202">
    <w:nsid w:val="2C106A57"/>
    <w:multiLevelType w:val="hybridMultilevel"/>
    <w:lvl w:ilvl="0">
      <w:lvlJc w:val="left"/>
      <w:lvlText w:val="(%1)"/>
      <w:numFmt w:val="lowerLetter"/>
      <w:start w:val="1"/>
    </w:lvl>
  </w:abstractNum>
  <w:abstractNum w:abstractNumId="203">
    <w:nsid w:val="684EED59"/>
    <w:multiLevelType w:val="hybridMultilevel"/>
    <w:lvl w:ilvl="0">
      <w:lvlJc w:val="left"/>
      <w:lvlText w:val="(%1)"/>
      <w:numFmt w:val="lowerLetter"/>
      <w:start w:val="9"/>
    </w:lvl>
  </w:abstractNum>
  <w:abstractNum w:abstractNumId="204">
    <w:nsid w:val="545EE5D3"/>
    <w:multiLevelType w:val="hybridMultilevel"/>
    <w:lvl w:ilvl="0">
      <w:lvlJc w:val="left"/>
      <w:lvlText w:val="(%1)"/>
      <w:numFmt w:val="lowerLetter"/>
      <w:start w:val="1"/>
    </w:lvl>
  </w:abstractNum>
  <w:abstractNum w:abstractNumId="205">
    <w:nsid w:val="4A66051"/>
    <w:multiLevelType w:val="hybridMultilevel"/>
    <w:lvl w:ilvl="0">
      <w:lvlJc w:val="left"/>
      <w:lvlText w:val="(%1)"/>
      <w:numFmt w:val="lowerLetter"/>
      <w:start w:val="2"/>
    </w:lvl>
  </w:abstractNum>
  <w:abstractNum w:abstractNumId="206">
    <w:nsid w:val="20F4BDAD"/>
    <w:multiLevelType w:val="hybridMultilevel"/>
    <w:lvl w:ilvl="0">
      <w:lvlJc w:val="left"/>
      <w:lvlText w:val="(%1)"/>
      <w:numFmt w:val="lowerLetter"/>
      <w:start w:val="3"/>
    </w:lvl>
    <w:lvl w:ilvl="1">
      <w:lvlJc w:val="left"/>
      <w:lvlText w:val="(%2)"/>
      <w:numFmt w:val="lowerRoman"/>
      <w:start w:val="1"/>
    </w:lvl>
  </w:abstractNum>
  <w:abstractNum w:abstractNumId="207">
    <w:nsid w:val="639DEFAC"/>
    <w:multiLevelType w:val="hybridMultilevel"/>
    <w:lvl w:ilvl="0">
      <w:lvlJc w:val="left"/>
      <w:lvlText w:val="%1"/>
      <w:numFmt w:val="lowerLetter"/>
      <w:start w:val="1"/>
    </w:lvl>
    <w:lvl w:ilvl="1">
      <w:lvlJc w:val="left"/>
      <w:lvlText w:val="(%2)"/>
      <w:numFmt w:val="lowerLetter"/>
      <w:start w:val="5"/>
    </w:lvl>
  </w:abstractNum>
  <w:abstractNum w:abstractNumId="208">
    <w:nsid w:val="501F9786"/>
    <w:multiLevelType w:val="hybridMultilevel"/>
    <w:lvl w:ilvl="0">
      <w:lvlJc w:val="left"/>
      <w:lvlText w:val="(%1)"/>
      <w:numFmt w:val="lowerLetter"/>
      <w:start w:val="35"/>
    </w:lvl>
    <w:lvl w:ilvl="1">
      <w:lvlJc w:val="left"/>
      <w:lvlText w:val="(%2)"/>
      <w:numFmt w:val="lowerLetter"/>
      <w:start w:val="1"/>
    </w:lvl>
  </w:abstractNum>
  <w:abstractNum w:abstractNumId="209">
    <w:nsid w:val="6B057295"/>
    <w:multiLevelType w:val="hybridMultilevel"/>
    <w:lvl w:ilvl="0">
      <w:lvlJc w:val="left"/>
      <w:lvlText w:val="(%1)"/>
      <w:numFmt w:val="lowerLetter"/>
      <w:start w:val="3"/>
    </w:lvl>
  </w:abstractNum>
  <w:abstractNum w:abstractNumId="210">
    <w:nsid w:val="2771AC80"/>
    <w:multiLevelType w:val="hybridMultilevel"/>
    <w:lvl w:ilvl="0">
      <w:lvlJc w:val="left"/>
      <w:lvlText w:val="%1"/>
      <w:numFmt w:val="lowerLetter"/>
      <w:start w:val="1"/>
    </w:lvl>
    <w:lvl w:ilvl="1">
      <w:lvlJc w:val="left"/>
      <w:lvlText w:val="(%2)"/>
      <w:numFmt w:val="lowerLetter"/>
      <w:start w:val="1"/>
    </w:lvl>
  </w:abstractNum>
  <w:abstractNum w:abstractNumId="211">
    <w:nsid w:val="1C4A08EC"/>
    <w:multiLevelType w:val="hybridMultilevel"/>
    <w:lvl w:ilvl="0">
      <w:lvlJc w:val="left"/>
      <w:lvlText w:val="(%1)"/>
      <w:numFmt w:val="lowerLetter"/>
      <w:start w:val="2"/>
    </w:lvl>
    <w:lvl w:ilvl="1">
      <w:lvlJc w:val="left"/>
      <w:lvlText w:val="%2"/>
      <w:numFmt w:val="lowerLetter"/>
      <w:start w:val="1"/>
    </w:lvl>
  </w:abstractNum>
  <w:abstractNum w:abstractNumId="212">
    <w:nsid w:val="1958BD17"/>
    <w:multiLevelType w:val="hybridMultilevel"/>
    <w:lvl w:ilvl="0">
      <w:lvlJc w:val="left"/>
      <w:lvlText w:val="(%1)"/>
      <w:numFmt w:val="lowerLetter"/>
      <w:start w:val="2"/>
    </w:lvl>
  </w:abstractNum>
  <w:abstractNum w:abstractNumId="213">
    <w:nsid w:val="4E647FE4"/>
    <w:multiLevelType w:val="hybridMultilevel"/>
    <w:lvl w:ilvl="0">
      <w:lvlJc w:val="left"/>
      <w:lvlText w:val="(%1)"/>
      <w:numFmt w:val="lowerLetter"/>
      <w:start w:val="1"/>
    </w:lvl>
    <w:lvl w:ilvl="1">
      <w:lvlJc w:val="left"/>
      <w:lvlText w:val="(%2)"/>
      <w:numFmt w:val="lowerRoman"/>
      <w:start w:val="1"/>
    </w:lvl>
  </w:abstractNum>
  <w:abstractNum w:abstractNumId="214">
    <w:nsid w:val="E0BB885"/>
    <w:multiLevelType w:val="hybridMultilevel"/>
    <w:lvl w:ilvl="0">
      <w:lvlJc w:val="left"/>
      <w:lvlText w:val="(%1)"/>
      <w:numFmt w:val="lowerRoman"/>
      <w:start w:val="3"/>
    </w:lvl>
    <w:lvl w:ilvl="1">
      <w:lvlJc w:val="left"/>
      <w:lvlText w:val="(%2)"/>
      <w:numFmt w:val="upperLetter"/>
      <w:start w:val="1"/>
    </w:lvl>
  </w:abstractNum>
  <w:abstractNum w:abstractNumId="215">
    <w:nsid w:val="565976F1"/>
    <w:multiLevelType w:val="hybridMultilevel"/>
    <w:lvl w:ilvl="0">
      <w:lvlJc w:val="left"/>
      <w:lvlText w:val="%1"/>
      <w:numFmt w:val="lowerLetter"/>
      <w:start w:val="1"/>
    </w:lvl>
    <w:lvl w:ilvl="1">
      <w:lvlJc w:val="left"/>
      <w:lvlText w:val="(%2)"/>
      <w:numFmt w:val="lowerLetter"/>
      <w:start w:val="22"/>
    </w:lvl>
  </w:abstractNum>
  <w:abstractNum w:abstractNumId="216">
    <w:nsid w:val="64212B8C"/>
    <w:multiLevelType w:val="hybridMultilevel"/>
    <w:lvl w:ilvl="0">
      <w:lvlJc w:val="left"/>
      <w:lvlText w:val="(%1)"/>
      <w:numFmt w:val="lowerLetter"/>
      <w:start w:val="2"/>
    </w:lvl>
    <w:lvl w:ilvl="1">
      <w:lvlJc w:val="left"/>
      <w:lvlText w:val="%2"/>
      <w:numFmt w:val="lowerLetter"/>
      <w:start w:val="1"/>
    </w:lvl>
  </w:abstractNum>
  <w:abstractNum w:abstractNumId="217">
    <w:nsid w:val="5C17530C"/>
    <w:multiLevelType w:val="hybridMultilevel"/>
    <w:lvl w:ilvl="0">
      <w:lvlJc w:val="left"/>
      <w:lvlText w:val="(%1)"/>
      <w:numFmt w:val="lowerLetter"/>
      <w:start w:val="1"/>
    </w:lvl>
    <w:lvl w:ilvl="1">
      <w:lvlJc w:val="left"/>
      <w:lvlText w:val="(%2)"/>
      <w:numFmt w:val="lowerRoman"/>
      <w:start w:val="1"/>
    </w:lvl>
  </w:abstractNum>
  <w:abstractNum w:abstractNumId="218">
    <w:nsid w:val="19A52566"/>
    <w:multiLevelType w:val="hybridMultilevel"/>
    <w:lvl w:ilvl="0">
      <w:lvlJc w:val="left"/>
      <w:lvlText w:val="(%1)"/>
      <w:numFmt w:val="lowerLetter"/>
      <w:start w:val="1"/>
    </w:lvl>
    <w:lvl w:ilvl="1">
      <w:lvlJc w:val="left"/>
      <w:lvlText w:val="(%2)"/>
      <w:numFmt w:val="lowerRoman"/>
      <w:start w:val="1"/>
    </w:lvl>
  </w:abstractNum>
  <w:abstractNum w:abstractNumId="219">
    <w:nsid w:val="335A1DF1"/>
    <w:multiLevelType w:val="hybridMultilevel"/>
    <w:lvl w:ilvl="0">
      <w:lvlJc w:val="left"/>
      <w:lvlText w:val="(%1)"/>
      <w:numFmt w:val="lowerLetter"/>
      <w:start w:val="1"/>
    </w:lvl>
  </w:abstractNum>
  <w:abstractNum w:abstractNumId="220">
    <w:nsid w:val="28677B7C"/>
    <w:multiLevelType w:val="hybridMultilevel"/>
    <w:lvl w:ilvl="0">
      <w:lvlJc w:val="left"/>
      <w:lvlText w:val="(%1)"/>
      <w:numFmt w:val="lowerLetter"/>
      <w:start w:val="4"/>
    </w:lvl>
  </w:abstractNum>
  <w:abstractNum w:abstractNumId="221">
    <w:nsid w:val="378D97C0"/>
    <w:multiLevelType w:val="hybridMultilevel"/>
    <w:lvl w:ilvl="0">
      <w:lvlJc w:val="left"/>
      <w:lvlText w:val="•"/>
      <w:numFmt w:val="bullet"/>
      <w:start w:val="1"/>
    </w:lvl>
  </w:abstractNum>
  <w:abstractNum w:abstractNumId="222">
    <w:nsid w:val="1D91467C"/>
    <w:multiLevelType w:val="hybridMultilevel"/>
    <w:lvl w:ilvl="0">
      <w:lvlJc w:val="left"/>
      <w:lvlText w:val="•"/>
      <w:numFmt w:val="bullet"/>
      <w:start w:val="1"/>
    </w:lvl>
  </w:abstractNum>
  <w:abstractNum w:abstractNumId="223">
    <w:nsid w:val="316032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2026-06-15T07:53:12Z</dcterms:created>
  <dcterms:modified xsi:type="dcterms:W3CDTF">2026-06-15T07:53:12Z</dcterms:modified>
</cp:coreProperties>
</file>