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12, 2026</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NATURAL GAS SERVICES GROUP, INC</w:t>
      </w:r>
      <w:r>
        <w:rPr>
          <w:rFonts w:ascii="Times New Roman" w:cs="Times New Roman" w:eastAsia="Times New Roman" w:hAnsi="Times New Roman"/>
          <w:sz w:val="25"/>
          <w:szCs w:val="25"/>
          <w:b w:val="1"/>
          <w:bCs w:val="1"/>
          <w:color w:val="auto"/>
        </w:rPr>
        <w:t>.</w:t>
      </w:r>
    </w:p>
    <w:p>
      <w:pPr>
        <w:spacing w:after="0" w:line="107" w:lineRule="exact"/>
        <w:rPr>
          <w:sz w:val="24"/>
          <w:szCs w:val="24"/>
          <w:color w:val="auto"/>
        </w:rPr>
      </w:pPr>
    </w:p>
    <w:tbl>
      <w:tblPr>
        <w:tblLayout w:type="fixed"/>
        <w:tblInd w:w="134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tc>
        <w:tc>
          <w:tcPr>
            <w:tcW w:w="2420" w:type="dxa"/>
            <w:vAlign w:val="bottom"/>
          </w:tcPr>
          <w:p>
            <w:pPr>
              <w:spacing w:after="0"/>
              <w:rPr>
                <w:sz w:val="16"/>
                <w:szCs w:val="16"/>
                <w:color w:val="auto"/>
              </w:rPr>
            </w:pPr>
          </w:p>
        </w:tc>
      </w:tr>
      <w:tr>
        <w:trPr>
          <w:trHeight w:val="202"/>
        </w:trPr>
        <w:tc>
          <w:tcPr>
            <w:tcW w:w="2140" w:type="dxa"/>
            <w:vAlign w:val="bottom"/>
          </w:tcPr>
          <w:p>
            <w:pPr>
              <w:jc w:val="center"/>
              <w:ind w:right="549"/>
              <w:spacing w:after="0"/>
              <w:rPr>
                <w:sz w:val="20"/>
                <w:szCs w:val="20"/>
                <w:color w:val="auto"/>
              </w:rPr>
            </w:pPr>
            <w:r>
              <w:rPr>
                <w:rFonts w:ascii="Times New Roman" w:cs="Times New Roman" w:eastAsia="Times New Roman" w:hAnsi="Times New Roman"/>
                <w:sz w:val="14"/>
                <w:szCs w:val="14"/>
                <w:b w:val="1"/>
                <w:bCs w:val="1"/>
                <w:color w:val="auto"/>
                <w:w w:val="99"/>
              </w:rPr>
              <w:t>Colorado</w:t>
            </w:r>
          </w:p>
        </w:tc>
        <w:tc>
          <w:tcPr>
            <w:tcW w:w="4220" w:type="dxa"/>
            <w:vAlign w:val="bottom"/>
          </w:tcPr>
          <w:p>
            <w:pPr>
              <w:jc w:val="right"/>
              <w:ind w:right="1769"/>
              <w:spacing w:after="0"/>
              <w:rPr>
                <w:sz w:val="20"/>
                <w:szCs w:val="20"/>
                <w:color w:val="auto"/>
              </w:rPr>
            </w:pPr>
            <w:r>
              <w:rPr>
                <w:rFonts w:ascii="Times New Roman" w:cs="Times New Roman" w:eastAsia="Times New Roman" w:hAnsi="Times New Roman"/>
                <w:sz w:val="14"/>
                <w:szCs w:val="14"/>
                <w:b w:val="1"/>
                <w:bCs w:val="1"/>
                <w:color w:val="auto"/>
              </w:rPr>
              <w:t>1-31398</w:t>
            </w:r>
          </w:p>
        </w:tc>
        <w:tc>
          <w:tcPr>
            <w:tcW w:w="24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75-2811855</w:t>
            </w:r>
          </w:p>
        </w:tc>
      </w:tr>
      <w:tr>
        <w:trPr>
          <w:trHeight w:val="198"/>
        </w:trPr>
        <w:tc>
          <w:tcPr>
            <w:tcW w:w="2140" w:type="dxa"/>
            <w:vAlign w:val="bottom"/>
          </w:tcPr>
          <w:p>
            <w:pPr>
              <w:jc w:val="center"/>
              <w:ind w:right="52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42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6"/>
        </w:trPr>
        <w:tc>
          <w:tcPr>
            <w:tcW w:w="2140" w:type="dxa"/>
            <w:vAlign w:val="bottom"/>
          </w:tcPr>
          <w:p>
            <w:pPr>
              <w:jc w:val="center"/>
              <w:ind w:right="529"/>
              <w:spacing w:after="0"/>
              <w:rPr>
                <w:sz w:val="20"/>
                <w:szCs w:val="20"/>
                <w:color w:val="auto"/>
              </w:rPr>
            </w:pPr>
            <w:r>
              <w:rPr>
                <w:rFonts w:ascii="Times New Roman" w:cs="Times New Roman" w:eastAsia="Times New Roman" w:hAnsi="Times New Roman"/>
                <w:sz w:val="14"/>
                <w:szCs w:val="14"/>
                <w:color w:val="auto"/>
              </w:rPr>
              <w:t>of Incorporation)</w:t>
            </w: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42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8"/>
        </w:trPr>
        <w:tc>
          <w:tcPr>
            <w:tcW w:w="2140" w:type="dxa"/>
            <w:vAlign w:val="bottom"/>
          </w:tcPr>
          <w:p>
            <w:pPr>
              <w:spacing w:after="0"/>
              <w:rPr>
                <w:sz w:val="24"/>
                <w:szCs w:val="24"/>
                <w:color w:val="auto"/>
              </w:rPr>
            </w:pPr>
          </w:p>
        </w:tc>
        <w:tc>
          <w:tcPr>
            <w:tcW w:w="42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601 State Street, Suite 400</w:t>
            </w:r>
          </w:p>
        </w:tc>
        <w:tc>
          <w:tcPr>
            <w:tcW w:w="2420" w:type="dxa"/>
            <w:vAlign w:val="bottom"/>
          </w:tcPr>
          <w:p>
            <w:pPr>
              <w:spacing w:after="0"/>
              <w:rPr>
                <w:sz w:val="24"/>
                <w:szCs w:val="24"/>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Southlake, TX 76092</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(432) 262-2700</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420" w:type="dxa"/>
            <w:vAlign w:val="bottom"/>
          </w:tcPr>
          <w:p>
            <w:pPr>
              <w:spacing w:after="0"/>
              <w:rPr>
                <w:sz w:val="18"/>
                <w:szCs w:val="18"/>
                <w:color w:val="auto"/>
              </w:rPr>
            </w:pPr>
          </w:p>
        </w:tc>
      </w:tr>
      <w:tr>
        <w:trPr>
          <w:trHeight w:val="212"/>
        </w:trPr>
        <w:tc>
          <w:tcPr>
            <w:tcW w:w="2140" w:type="dxa"/>
            <w:vAlign w:val="bottom"/>
          </w:tcPr>
          <w:p>
            <w:pPr>
              <w:spacing w:after="0"/>
              <w:rPr>
                <w:sz w:val="18"/>
                <w:szCs w:val="18"/>
                <w:color w:val="auto"/>
              </w:rPr>
            </w:pPr>
          </w:p>
        </w:tc>
        <w:tc>
          <w:tcPr>
            <w:tcW w:w="42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2420" w:type="dxa"/>
            <w:vAlign w:val="bottom"/>
          </w:tcPr>
          <w:p>
            <w:pPr>
              <w:spacing w:after="0"/>
              <w:rPr>
                <w:sz w:val="18"/>
                <w:szCs w:val="18"/>
                <w:color w:val="auto"/>
              </w:rPr>
            </w:pP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270" w:lineRule="exact"/>
        <w:rPr>
          <w:sz w:val="24"/>
          <w:szCs w:val="2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84" w:lineRule="exact"/>
        <w:rPr>
          <w:rFonts w:ascii="MS PGothic" w:cs="MS PGothic" w:eastAsia="MS PGothic" w:hAnsi="MS PGothic"/>
          <w:sz w:val="14"/>
          <w:szCs w:val="1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84" w:lineRule="exact"/>
        <w:rPr>
          <w:rFonts w:ascii="MS PGothic" w:cs="MS PGothic" w:eastAsia="MS PGothic" w:hAnsi="MS PGothic"/>
          <w:sz w:val="14"/>
          <w:szCs w:val="1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84" w:lineRule="exact"/>
        <w:rPr>
          <w:rFonts w:ascii="MS PGothic" w:cs="MS PGothic" w:eastAsia="MS PGothic" w:hAnsi="MS PGothic"/>
          <w:sz w:val="14"/>
          <w:szCs w:val="14"/>
          <w:color w:val="auto"/>
        </w:rPr>
      </w:pPr>
    </w:p>
    <w:p>
      <w:pPr>
        <w:ind w:left="680" w:hanging="16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240.13e-14(c)).</w:t>
      </w:r>
    </w:p>
    <w:p>
      <w:pPr>
        <w:spacing w:after="0" w:line="87" w:lineRule="exact"/>
        <w:rPr>
          <w:sz w:val="24"/>
          <w:szCs w:val="24"/>
          <w:color w:val="auto"/>
        </w:rPr>
      </w:pPr>
    </w:p>
    <w:tbl>
      <w:tblPr>
        <w:tblLayout w:type="fixed"/>
        <w:tblInd w:w="520" w:type="dxa"/>
        <w:tblCellMar>
          <w:top w:w="0" w:type="dxa"/>
          <w:left w:w="0" w:type="dxa"/>
          <w:bottom w:w="0" w:type="dxa"/>
          <w:right w:w="0" w:type="dxa"/>
        </w:tblCellMar>
      </w:tblPr>
      <w:tr>
        <w:trPr>
          <w:trHeight w:val="165"/>
        </w:trPr>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257"/>
        </w:trPr>
        <w:tc>
          <w:tcPr>
            <w:tcW w:w="3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Trading Symbol</w:t>
            </w:r>
          </w:p>
        </w:tc>
        <w:tc>
          <w:tcPr>
            <w:tcW w:w="3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15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$0.01</w:t>
            </w:r>
          </w:p>
        </w:tc>
        <w:tc>
          <w:tcPr>
            <w:tcW w:w="80" w:type="dxa"/>
            <w:vAlign w:val="bottom"/>
          </w:tcPr>
          <w:p>
            <w:pPr>
              <w:spacing w:after="0"/>
              <w:rPr>
                <w:sz w:val="13"/>
                <w:szCs w:val="13"/>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NGS</w:t>
            </w:r>
          </w:p>
        </w:tc>
        <w:tc>
          <w:tcPr>
            <w:tcW w:w="100" w:type="dxa"/>
            <w:vAlign w:val="bottom"/>
          </w:tcPr>
          <w:p>
            <w:pPr>
              <w:spacing w:after="0"/>
              <w:rPr>
                <w:sz w:val="13"/>
                <w:szCs w:val="13"/>
                <w:color w:val="auto"/>
              </w:rPr>
            </w:pPr>
          </w:p>
        </w:tc>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NYSE</w:t>
            </w:r>
          </w:p>
        </w:tc>
      </w:tr>
    </w:tbl>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426085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May 12, 2026, Natural Gas Services Group, Inc. (the “Company”) hosted an earnings call to announce the Company’s financial results for the first quarter ended March 31, 2026, and provide certain other financial and business information, along with forward guidance. A copy of the earnings call transcript is attached hereto as Exhibit 99.1 and incorporated herein by reference.</w:t>
      </w:r>
    </w:p>
    <w:p>
      <w:pPr>
        <w:spacing w:after="0" w:line="69"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set forth in Item 2.02 of this Current Report on Form 8-K is incorporated by reference into this Item 7.01.</w:t>
      </w:r>
    </w:p>
    <w:p>
      <w:pPr>
        <w:spacing w:after="0" w:line="9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information in Item 2.02 and Item 7.01 of this Current Report on Form 8-K,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replay of the earnings call may also be found on our website at https://www.ngsgi.com under our “news and events”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756920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About Natural Gas Services Group, Inc.</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Natural Gas Services Group is a leading provider of natural gas and electric compression equipment, technology and services to the energy industry. The Company rents, designs, services and maintains compressors and related equipment and parts for our customers’ oil and gas production and processing facilities, generally using equipment from OEM suppliers along with limited in-house assembly. The Company is headquartered in Southlake, Texas, with administrative offices in Midland, Texas an assembly facility located in Tulsa, Oklahoma, and service facilities located in major oil and natural gas producing basins in the continental U.S. Additional information can be found at www.ngsgi.com.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Certain statements herein (and oral statements made regarding the subjects of this release) constitute “forward-looking statements” within the meaning of the federal securities laws. Words such as “may,” “might,” “should,” “believe,” “expect,” “anticipate,” “estimate,” “continue,” “predict,” “forecast,” “project,” “plan,” “intend” or similar expressions, or statements regarding intent, belief, or current expectations, are forward-looking statements. These forward-looking statements are based upon current estimates and assumptions.</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These forward–looking statements rely on a number of assumptions concerning future events and are subject to a number of uncertainties and factors that could cause actual results to differ materially from such statements, many of which are outside the control of the Company. Forward– looking information includes, but is not limited to statements regarding: guidance or estimates related to EBITDA growth, projected capital expenditures; returns on invested capital, fundamentals of the compression industry and related oil and gas industry, valuations, compressor demand assumptions and overall industry outlook, and the ability of the Company to capitalize on any potential opportunities.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While the Company believes that the assumptions concerning future events are reasonable, investors are cautioned that there are inherent difficulties in predicting certain important factors that could impact the future performance or results of its business. Some of these factors that could cause results to differ materially from those indicated by such forward-looking statements include, but are not limited to:</w:t>
      </w:r>
    </w:p>
    <w:p>
      <w:pPr>
        <w:spacing w:after="0" w:line="51"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oil and gas industry, including the supply and demand for oil and gas and volatility in the prices of oil and gas;</w:t>
      </w:r>
    </w:p>
    <w:p>
      <w:pPr>
        <w:spacing w:after="0" w:line="23" w:lineRule="exact"/>
        <w:rPr>
          <w:rFonts w:ascii="Times New Roman" w:cs="Times New Roman" w:eastAsia="Times New Roman" w:hAnsi="Times New Roman"/>
          <w:sz w:val="14"/>
          <w:szCs w:val="14"/>
          <w:color w:val="auto"/>
        </w:rPr>
      </w:pPr>
    </w:p>
    <w:p>
      <w:pPr>
        <w:jc w:val="both"/>
        <w:ind w:left="520" w:hanging="260"/>
        <w:spacing w:after="0" w:line="266"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spacing w:after="0" w:line="15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major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projected organic growth due to adverse changes in the oil and gas industry, including depressed oil and gas prices, oppressive environmental regulations and competition;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increased utilization of assets, including rental fleet utilization and monetizing other non-cash balance sheet assets;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customers to continue to rent equipment after expiration of the primary rental term;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economically develop and deploy new technologies and services, including technology to comply with health and environmental laws and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achieve accretive financial results in connection with any acquisitions we may make;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interest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 or prohibition of new or current well completion techniques;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among the various providers of compression services and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safety, health and environmental regulations;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economic or political conditions in the markets in which we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inherent risks associated with our operations, such as equipment defects, malfunctions, natural disasters and adverse changes in customer, employee and supplier relationships;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comply with covenants in our debt agreements and the decreased financial flexibility associated with our debt;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finance our future capital requirements and availability of financing;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threats, including increased use of artificial intelligence and other emerging technologies;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availability, costs and performance of our outsourced compressor fabrication providers and overall inflationary pressures;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478155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these forward-looking statements are subject to other various risks and uncertainties, including without limitation those set forth in the Company’s filings with the Securities and Exchange Commission, including the Company's Annual Report on Form 10-K for the year ended December 31, 2025. Thus, actual results could be materially different. The Company expressly disclaims any obligation to update or alter statements whether as a result of new information, future events or otherwise, except as required by law.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96" w:lineRule="exact"/>
        <w:rPr>
          <w:sz w:val="20"/>
          <w:szCs w:val="20"/>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exhibits are included with this Current Report on Form 8-K:</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280" w:type="dxa"/>
            <w:vAlign w:val="bottom"/>
            <w:tcBorders>
              <w:top w:val="single" w:sz="8" w:color="auto"/>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0" w:type="dxa"/>
            <w:vAlign w:val="bottom"/>
          </w:tcPr>
          <w:p>
            <w:pPr>
              <w:spacing w:after="0"/>
              <w:rPr>
                <w:sz w:val="16"/>
                <w:szCs w:val="16"/>
                <w:color w:val="auto"/>
              </w:rPr>
            </w:pPr>
          </w:p>
        </w:tc>
      </w:tr>
      <w:tr>
        <w:trPr>
          <w:trHeight w:val="139"/>
        </w:trPr>
        <w:tc>
          <w:tcPr>
            <w:tcW w:w="1280" w:type="dxa"/>
            <w:vAlign w:val="bottom"/>
            <w:tcBorders>
              <w:left w:val="single" w:sz="8" w:color="auto"/>
              <w:right w:val="single" w:sz="8" w:color="auto"/>
            </w:tcBorders>
            <w:gridSpan w:val="2"/>
          </w:tcPr>
          <w:p>
            <w:pPr>
              <w:ind w:left="20"/>
              <w:spacing w:after="0" w:line="13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9540" w:type="dxa"/>
            <w:vAlign w:val="bottom"/>
            <w:tcBorders>
              <w:right w:val="single" w:sz="8" w:color="auto"/>
            </w:tcBorders>
          </w:tcPr>
          <w:p>
            <w:pPr>
              <w:spacing w:after="0" w:line="139" w:lineRule="exact"/>
              <w:rPr>
                <w:sz w:val="20"/>
                <w:szCs w:val="20"/>
                <w:color w:val="auto"/>
              </w:rPr>
            </w:pPr>
            <w:r>
              <w:rPr>
                <w:rFonts w:ascii="Times New Roman" w:cs="Times New Roman" w:eastAsia="Times New Roman" w:hAnsi="Times New Roman"/>
                <w:sz w:val="14"/>
                <w:szCs w:val="14"/>
                <w:color w:val="auto"/>
              </w:rPr>
              <w:t>Earnings Call Transcript for the First Quarter Ended March 31, 2026.</w:t>
            </w:r>
          </w:p>
        </w:tc>
        <w:tc>
          <w:tcPr>
            <w:tcW w:w="460" w:type="dxa"/>
            <w:vAlign w:val="bottom"/>
          </w:tcPr>
          <w:p>
            <w:pPr>
              <w:spacing w:after="0"/>
              <w:rPr>
                <w:sz w:val="12"/>
                <w:szCs w:val="12"/>
                <w:color w:val="auto"/>
              </w:rPr>
            </w:pPr>
          </w:p>
        </w:tc>
      </w:tr>
      <w:tr>
        <w:trPr>
          <w:trHeight w:val="33"/>
        </w:trPr>
        <w:tc>
          <w:tcPr>
            <w:tcW w:w="280" w:type="dxa"/>
            <w:vAlign w:val="bottom"/>
            <w:tcBorders>
              <w:top w:val="single" w:sz="8" w:color="0000FF"/>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9540" w:type="dxa"/>
            <w:vAlign w:val="bottom"/>
            <w:tcBorders>
              <w:bottom w:val="single" w:sz="8" w:color="auto"/>
              <w:right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183"/>
        </w:trPr>
        <w:tc>
          <w:tcPr>
            <w:tcW w:w="2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0" w:type="dxa"/>
            <w:vAlign w:val="bottom"/>
            <w:tcBorders>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460" w:type="dxa"/>
            <w:vAlign w:val="bottom"/>
          </w:tcPr>
          <w:p>
            <w:pPr>
              <w:spacing w:after="0"/>
              <w:rPr>
                <w:sz w:val="15"/>
                <w:szCs w:val="15"/>
                <w:color w:val="auto"/>
              </w:rPr>
            </w:pPr>
          </w:p>
        </w:tc>
      </w:tr>
      <w:tr>
        <w:trPr>
          <w:trHeight w:val="987"/>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738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NATURAL GAS SERVICES GROUP, INC.</w:t>
            </w:r>
          </w:p>
        </w:tc>
      </w:tr>
      <w:tr>
        <w:trPr>
          <w:trHeight w:val="54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Dated: May 13, 2026</w:t>
            </w:r>
          </w:p>
        </w:tc>
        <w:tc>
          <w:tcPr>
            <w:tcW w:w="27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Justin C. Jacobs</w:t>
            </w:r>
          </w:p>
        </w:tc>
      </w:tr>
      <w:tr>
        <w:trPr>
          <w:trHeight w:val="167"/>
        </w:trPr>
        <w:tc>
          <w:tcPr>
            <w:tcW w:w="3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Justin C. Jacobs</w:t>
            </w:r>
          </w:p>
        </w:tc>
      </w:tr>
      <w:tr>
        <w:trPr>
          <w:trHeight w:val="184"/>
        </w:trPr>
        <w:tc>
          <w:tcPr>
            <w:tcW w:w="3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Executive Officer</w:t>
            </w:r>
          </w:p>
        </w:tc>
      </w:tr>
    </w:tbl>
    <w:p>
      <w:pPr>
        <w:sectPr>
          <w:pgSz w:w="11900" w:h="16838" w:orient="portrait"/>
          <w:cols w:equalWidth="0" w:num="1">
            <w:col w:w="11060"/>
          </w:cols>
          <w:pgMar w:left="520" w:top="802"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2026-05-13T13:43:02Z</dcterms:created>
  <dcterms:modified xsi:type="dcterms:W3CDTF">2026-05-13T13:43:02Z</dcterms:modified>
</cp:coreProperties>
</file>