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Gallegos John A. Jr.</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952 ECHO LANE</w:t>
            </w:r>
          </w:p>
        </w:tc>
        <w:tc>
          <w:tcPr>
            <w:tcW w:w="16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460</w:t>
            </w:r>
          </w:p>
        </w:tc>
        <w:tc>
          <w:tcPr>
            <w:tcW w:w="10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77024</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NATURAL GAS SERVICES GROUP INC</w:t>
              </w:r>
            </w:hyperlink>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vMerge w:val="restart"/>
          </w:tcPr>
          <w:p>
            <w:pPr>
              <w:spacing w:after="0"/>
              <w:rPr>
                <w:sz w:val="13"/>
                <w:szCs w:val="13"/>
                <w:color w:val="auto"/>
              </w:rPr>
            </w:pPr>
          </w:p>
        </w:tc>
        <w:tc>
          <w:tcPr>
            <w:tcW w:w="1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35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NGS </w:t>
            </w:r>
            <w:r>
              <w:rPr>
                <w:rFonts w:ascii="Times New Roman" w:cs="Times New Roman" w:eastAsia="Times New Roman" w:hAnsi="Times New Roman"/>
                <w:sz w:val="20"/>
                <w:szCs w:val="20"/>
                <w:color w:val="000000"/>
              </w:rPr>
              <w:t>]</w:t>
            </w:r>
          </w:p>
        </w:tc>
        <w:tc>
          <w:tcPr>
            <w:tcW w:w="14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350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5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10"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06/10/2026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5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10"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5,345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3,009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5"/>
                <w:szCs w:val="5"/>
                <w:color w:val="auto"/>
              </w:rPr>
            </w:pPr>
          </w:p>
        </w:tc>
        <w:tc>
          <w:tcPr>
            <w:tcW w:w="72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3,009</w:t>
            </w: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3,009</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Each RSU represented the right to receive one share of the Issuer's common stock upon vesting.</w:t>
      </w:r>
    </w:p>
    <w:p>
      <w:pPr>
        <w:spacing w:after="0" w:line="45" w:lineRule="exact"/>
        <w:rPr>
          <w:rFonts w:ascii="Times New Roman" w:cs="Times New Roman" w:eastAsia="Times New Roman" w:hAnsi="Times New Roman"/>
          <w:sz w:val="13"/>
          <w:szCs w:val="13"/>
          <w:color w:val="008000"/>
        </w:rPr>
      </w:pPr>
    </w:p>
    <w:p>
      <w:pPr>
        <w:ind w:left="40" w:right="5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The acquisition reflects an award of Restricted Stock Units pursuant to the Company's 2019 Equity Incentive Plan. The award vests on the first anniversary of the grant date, subject to accelerated vesting under certain circumstances.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J. Anthony Gallegos, Jr.</w:t>
            </w:r>
          </w:p>
        </w:tc>
        <w:tc>
          <w:tcPr>
            <w:tcW w:w="5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06/11/2026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2099" TargetMode="External"/><Relationship Id="rId14" Type="http://schemas.openxmlformats.org/officeDocument/2006/relationships/hyperlink" Target="http://www.sec.gov/cgi-bin/browse-edgar?action=getcompany&amp;CIK=0001084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2026-06-11T08:48:37Z</dcterms:created>
  <dcterms:modified xsi:type="dcterms:W3CDTF">2026-06-11T08:48:37Z</dcterms:modified>
</cp:coreProperties>
</file>