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11, 2026</w:t>
      </w: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NATURAL GAS SERVICES GROUP, INC</w:t>
      </w:r>
      <w:r>
        <w:rPr>
          <w:rFonts w:ascii="Times New Roman" w:cs="Times New Roman" w:eastAsia="Times New Roman" w:hAnsi="Times New Roman"/>
          <w:sz w:val="31"/>
          <w:szCs w:val="31"/>
          <w:b w:val="1"/>
          <w:bCs w:val="1"/>
          <w:color w:val="auto"/>
        </w:rPr>
        <w:t>.</w:t>
      </w:r>
    </w:p>
    <w:p>
      <w:pPr>
        <w:sectPr>
          <w:pgSz w:w="11900" w:h="16838" w:orient="portrait"/>
          <w:cols w:equalWidth="0" w:num="1">
            <w:col w:w="11240"/>
          </w:cols>
          <w:pgMar w:left="320" w:top="1040" w:right="339" w:bottom="1440" w:gutter="0" w:footer="0" w:header="0"/>
        </w:sectPr>
      </w:pPr>
    </w:p>
    <w:p>
      <w:pPr>
        <w:spacing w:after="0" w:line="397"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Colorado</w:t>
      </w:r>
    </w:p>
    <w:p>
      <w:pPr>
        <w:spacing w:after="0" w:line="6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7"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line="1" w:lineRule="exact"/>
        <w:rPr>
          <w:sz w:val="1"/>
          <w:szCs w:val="1"/>
          <w:color w:val="auto"/>
        </w:rPr>
      </w:pPr>
    </w:p>
    <w:tbl>
      <w:tblPr>
        <w:tblLayout w:type="fixed"/>
        <w:tblInd w:w="360" w:type="dxa"/>
        <w:tblCellMar>
          <w:top w:w="0" w:type="dxa"/>
          <w:left w:w="0" w:type="dxa"/>
          <w:bottom w:w="0" w:type="dxa"/>
          <w:right w:w="0" w:type="dxa"/>
        </w:tblCellMar>
      </w:tblPr>
      <w:tr>
        <w:trPr>
          <w:trHeight w:val="234"/>
        </w:trPr>
        <w:tc>
          <w:tcPr>
            <w:tcW w:w="4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tc>
        <w:tc>
          <w:tcPr>
            <w:tcW w:w="2600" w:type="dxa"/>
            <w:vAlign w:val="bottom"/>
          </w:tcPr>
          <w:p>
            <w:pPr>
              <w:spacing w:after="0"/>
              <w:rPr>
                <w:sz w:val="20"/>
                <w:szCs w:val="20"/>
                <w:color w:val="auto"/>
              </w:rPr>
            </w:pPr>
          </w:p>
        </w:tc>
      </w:tr>
      <w:tr>
        <w:trPr>
          <w:trHeight w:val="257"/>
        </w:trPr>
        <w:tc>
          <w:tcPr>
            <w:tcW w:w="4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1-31398</w:t>
            </w:r>
          </w:p>
        </w:tc>
        <w:tc>
          <w:tcPr>
            <w:tcW w:w="26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75-2811855</w:t>
            </w:r>
          </w:p>
        </w:tc>
      </w:tr>
      <w:tr>
        <w:trPr>
          <w:trHeight w:val="527"/>
        </w:trPr>
        <w:tc>
          <w:tcPr>
            <w:tcW w:w="41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(Commission File Number)</w:t>
            </w:r>
          </w:p>
        </w:tc>
        <w:tc>
          <w:tcPr>
            <w:tcW w:w="2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91"/>
        </w:trPr>
        <w:tc>
          <w:tcPr>
            <w:tcW w:w="4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601 State Street, Suite 400</w:t>
            </w:r>
          </w:p>
        </w:tc>
        <w:tc>
          <w:tcPr>
            <w:tcW w:w="2600" w:type="dxa"/>
            <w:vAlign w:val="bottom"/>
          </w:tcPr>
          <w:p>
            <w:pPr>
              <w:spacing w:after="0"/>
              <w:rPr>
                <w:sz w:val="24"/>
                <w:szCs w:val="24"/>
                <w:color w:val="auto"/>
              </w:rPr>
            </w:pPr>
          </w:p>
        </w:tc>
      </w:tr>
      <w:tr>
        <w:trPr>
          <w:trHeight w:val="270"/>
        </w:trPr>
        <w:tc>
          <w:tcPr>
            <w:tcW w:w="4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Southlake, TX 76092</w:t>
            </w:r>
          </w:p>
        </w:tc>
        <w:tc>
          <w:tcPr>
            <w:tcW w:w="2600" w:type="dxa"/>
            <w:vAlign w:val="bottom"/>
          </w:tcPr>
          <w:p>
            <w:pPr>
              <w:spacing w:after="0"/>
              <w:rPr>
                <w:sz w:val="23"/>
                <w:szCs w:val="23"/>
                <w:color w:val="auto"/>
              </w:rPr>
            </w:pPr>
          </w:p>
        </w:tc>
      </w:tr>
      <w:tr>
        <w:trPr>
          <w:trHeight w:val="270"/>
        </w:trPr>
        <w:tc>
          <w:tcPr>
            <w:tcW w:w="41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00" w:type="dxa"/>
            <w:vAlign w:val="bottom"/>
          </w:tcPr>
          <w:p>
            <w:pPr>
              <w:spacing w:after="0"/>
              <w:rPr>
                <w:sz w:val="23"/>
                <w:szCs w:val="23"/>
                <w:color w:val="auto"/>
              </w:rPr>
            </w:pPr>
          </w:p>
        </w:tc>
      </w:tr>
      <w:tr>
        <w:trPr>
          <w:trHeight w:val="270"/>
        </w:trPr>
        <w:tc>
          <w:tcPr>
            <w:tcW w:w="4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(432) 262-2700</w:t>
            </w:r>
          </w:p>
        </w:tc>
        <w:tc>
          <w:tcPr>
            <w:tcW w:w="2600" w:type="dxa"/>
            <w:vAlign w:val="bottom"/>
          </w:tcPr>
          <w:p>
            <w:pPr>
              <w:spacing w:after="0"/>
              <w:rPr>
                <w:sz w:val="23"/>
                <w:szCs w:val="23"/>
                <w:color w:val="auto"/>
              </w:rPr>
            </w:pPr>
          </w:p>
        </w:tc>
      </w:tr>
      <w:tr>
        <w:trPr>
          <w:trHeight w:val="270"/>
        </w:trPr>
        <w:tc>
          <w:tcPr>
            <w:tcW w:w="41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600" w:type="dxa"/>
            <w:vAlign w:val="bottom"/>
          </w:tcPr>
          <w:p>
            <w:pPr>
              <w:spacing w:after="0"/>
              <w:rPr>
                <w:sz w:val="23"/>
                <w:szCs w:val="23"/>
                <w:color w:val="auto"/>
              </w:rPr>
            </w:pPr>
          </w:p>
        </w:tc>
      </w:tr>
      <w:tr>
        <w:trPr>
          <w:trHeight w:val="270"/>
        </w:trPr>
        <w:tc>
          <w:tcPr>
            <w:tcW w:w="4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w:t>
            </w:r>
          </w:p>
        </w:tc>
        <w:tc>
          <w:tcPr>
            <w:tcW w:w="2600" w:type="dxa"/>
            <w:vAlign w:val="bottom"/>
          </w:tcPr>
          <w:p>
            <w:pPr>
              <w:spacing w:after="0"/>
              <w:rPr>
                <w:sz w:val="23"/>
                <w:szCs w:val="23"/>
                <w:color w:val="auto"/>
              </w:rPr>
            </w:pPr>
          </w:p>
        </w:tc>
      </w:tr>
    </w:tbl>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ectPr>
          <w:pgSz w:w="11900" w:h="16838" w:orient="portrait"/>
          <w:cols w:equalWidth="0" w:num="2">
            <w:col w:w="3080" w:space="200"/>
            <w:col w:w="7960"/>
          </w:cols>
          <w:pgMar w:left="320" w:top="1040" w:right="339" w:bottom="1440" w:gutter="0" w:footer="0" w:header="0"/>
          <w:type w:val="continuous"/>
        </w:sectPr>
      </w:pPr>
    </w:p>
    <w:p>
      <w:pPr>
        <w:spacing w:after="0" w:line="16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297"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60"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0"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0"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240.13e-14(c)).</w:t>
      </w:r>
    </w:p>
    <w:p>
      <w:pPr>
        <w:spacing w:after="0" w:line="108" w:lineRule="exact"/>
        <w:rPr>
          <w:sz w:val="24"/>
          <w:szCs w:val="24"/>
          <w:color w:val="auto"/>
        </w:rPr>
      </w:pPr>
    </w:p>
    <w:tbl>
      <w:tblPr>
        <w:tblLayout w:type="fixed"/>
        <w:tblInd w:w="660" w:type="dxa"/>
        <w:tblCellMar>
          <w:top w:w="0" w:type="dxa"/>
          <w:left w:w="0" w:type="dxa"/>
          <w:bottom w:w="0" w:type="dxa"/>
          <w:right w:w="0" w:type="dxa"/>
        </w:tblCellMar>
      </w:tblPr>
      <w:tr>
        <w:trPr>
          <w:trHeight w:val="210"/>
        </w:trPr>
        <w:tc>
          <w:tcPr>
            <w:tcW w:w="40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327"/>
        </w:trPr>
        <w:tc>
          <w:tcPr>
            <w:tcW w:w="4080" w:type="dxa"/>
            <w:vAlign w:val="bottom"/>
            <w:gridSpan w:val="3"/>
          </w:tcPr>
          <w:p>
            <w:pPr>
              <w:jc w:val="center"/>
              <w:ind w:right="6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32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color w:val="auto"/>
              </w:rPr>
              <w:t>Trading Symbol</w:t>
            </w: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w:t>
            </w:r>
          </w:p>
        </w:tc>
        <w:tc>
          <w:tcPr>
            <w:tcW w:w="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tcPr>
          <w:p>
            <w:pPr>
              <w:jc w:val="center"/>
              <w:ind w:right="419"/>
              <w:spacing w:after="0"/>
              <w:rPr>
                <w:sz w:val="20"/>
                <w:szCs w:val="20"/>
                <w:color w:val="auto"/>
              </w:rPr>
            </w:pPr>
            <w:r>
              <w:rPr>
                <w:rFonts w:ascii="Times New Roman" w:cs="Times New Roman" w:eastAsia="Times New Roman" w:hAnsi="Times New Roman"/>
                <w:sz w:val="16"/>
                <w:szCs w:val="16"/>
                <w:color w:val="auto"/>
              </w:rPr>
              <w:t>NGS</w:t>
            </w:r>
          </w:p>
        </w:tc>
        <w:tc>
          <w:tcPr>
            <w:tcW w:w="80" w:type="dxa"/>
            <w:vAlign w:val="bottom"/>
          </w:tcPr>
          <w:p>
            <w:pPr>
              <w:spacing w:after="0"/>
              <w:rPr>
                <w:sz w:val="17"/>
                <w:szCs w:val="17"/>
                <w:color w:val="auto"/>
              </w:rPr>
            </w:pPr>
          </w:p>
        </w:tc>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NYSE</w:t>
            </w:r>
          </w:p>
        </w:tc>
      </w:tr>
    </w:tbl>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On May 11, 2026, Natural Gas Services Group, Inc. (the “Company”) issued a press release announcing its results of operations for three months ended March 31, 2026. The press release issued May 11, 2026 is furnished as Exhibit No. 99.1 to this Current Report on Form 8-K. Natural Gas Services Group’s annual report on Form 10-K and its reports on Forms 10-Q and 8-K and other publicly available information should be consulted for other important information about Natural Gas Services Group, Inc.</w:t>
      </w:r>
    </w:p>
    <w:p>
      <w:pPr>
        <w:spacing w:after="0" w:line="7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No. 99.1 hereto, shall not be deemed “filed” for purposes of Section 18 of the Securities Exchange Act of 1934, as amended, or otherwise subject to liability of that section. The information in this Current Report shall not be incorporated by reference into any filing or other document pursuant to the Securities Act of 1933, as amended, except as shall be expressly set forth by specific reference in such filing or document.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May 11, 2026, the Company announced that its Board of Directors has declared a cash dividend of $0.15 per share of common stock. This cash dividend will be paid on June 3, 2026, to all shareholders of record as of the close of business on May 20,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1500" w:hanging="610"/>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listed below is furnished as an Exhibit to this Current Report on Form 8-K.</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8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Exhibit No.</w:t>
            </w:r>
          </w:p>
        </w:tc>
        <w:tc>
          <w:tcPr>
            <w:tcW w:w="83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23"/>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8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 issued May 11, 2026</w:t>
            </w:r>
          </w:p>
        </w:tc>
      </w:tr>
      <w:tr>
        <w:trPr>
          <w:trHeight w:val="223"/>
        </w:trPr>
        <w:tc>
          <w:tcPr>
            <w:tcW w:w="2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8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77"/>
        </w:trPr>
        <w:tc>
          <w:tcPr>
            <w:tcW w:w="2880" w:type="dxa"/>
            <w:vAlign w:val="bottom"/>
            <w:tcBorders>
              <w:bottom w:val="single" w:sz="8" w:color="9A9A9A"/>
            </w:tcBorders>
          </w:tcPr>
          <w:p>
            <w:pPr>
              <w:spacing w:after="0"/>
              <w:rPr>
                <w:sz w:val="24"/>
                <w:szCs w:val="24"/>
                <w:color w:val="auto"/>
              </w:rPr>
            </w:pPr>
          </w:p>
        </w:tc>
        <w:tc>
          <w:tcPr>
            <w:tcW w:w="8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927"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97" w:lineRule="exact"/>
        <w:rPr>
          <w:sz w:val="20"/>
          <w:szCs w:val="20"/>
          <w:color w:val="auto"/>
        </w:rPr>
      </w:pPr>
    </w:p>
    <w:p>
      <w:pPr>
        <w:ind w:firstLine="40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NATURAL GAS SERVICES GROUP, INC.</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640" w:val="left"/>
          <w:tab w:leader="none" w:pos="5900" w:val="left"/>
          <w:tab w:leader="none" w:pos="6640" w:val="left"/>
        </w:tabs>
        <w:rPr>
          <w:sz w:val="20"/>
          <w:szCs w:val="20"/>
          <w:color w:val="auto"/>
        </w:rPr>
      </w:pPr>
      <w:r>
        <w:rPr>
          <w:rFonts w:ascii="Times New Roman" w:cs="Times New Roman" w:eastAsia="Times New Roman" w:hAnsi="Times New Roman"/>
          <w:sz w:val="18"/>
          <w:szCs w:val="18"/>
          <w:color w:val="auto"/>
        </w:rPr>
        <w:t>Date:</w:t>
        <w:tab/>
        <w:t>May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Justin C.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146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3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Justin C. Jacobs</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81"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 IMMEDIATE RELEASE</w:t>
            </w:r>
          </w:p>
        </w:tc>
        <w:tc>
          <w:tcPr>
            <w:tcW w:w="5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NEWS</w:t>
            </w: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3"/>
                <w:szCs w:val="13"/>
                <w:color w:val="auto"/>
              </w:rPr>
              <w:t>May 11, 2026</w:t>
            </w:r>
          </w:p>
        </w:tc>
        <w:tc>
          <w:tcPr>
            <w:tcW w:w="5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NYSE: NGS</w:t>
            </w: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Natural Gas Services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Reports First Quarter 2026 Financial and Operating Results;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Announces Increase in Dividend and Provides Updated 2026 Guidance</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SOUTHLAKE, Texas May 11, 2026 (GLOBE NEWSWIRE) </w:t>
      </w:r>
      <w:r>
        <w:rPr>
          <w:rFonts w:ascii="Times New Roman" w:cs="Times New Roman" w:eastAsia="Times New Roman" w:hAnsi="Times New Roman"/>
          <w:sz w:val="18"/>
          <w:szCs w:val="18"/>
          <w:color w:val="auto"/>
        </w:rPr>
        <w:t>Natural Gas Services Group, Inc. (“NGS” or the “Company”) (NYSE:NGS), a leading provider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natural gas compression equipment, technology, and services to the energy industry, today announced financial results for the three months ended 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2026 Highlights</w:t>
      </w:r>
    </w:p>
    <w:p>
      <w:pPr>
        <w:spacing w:after="0" w:line="10" w:lineRule="exact"/>
        <w:rPr>
          <w:sz w:val="20"/>
          <w:szCs w:val="20"/>
          <w:color w:val="auto"/>
        </w:rPr>
      </w:pPr>
    </w:p>
    <w:p>
      <w:pPr>
        <w:ind w:left="660" w:right="20" w:hanging="328"/>
        <w:spacing w:after="0" w:line="24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revenue of $47.1 million for the first quarter of 2026 represents a 21.1% year-over-year increase and a 6.3% sequential increase compared to the fourth quarter of 2025.</w:t>
      </w:r>
    </w:p>
    <w:p>
      <w:pPr>
        <w:spacing w:after="0" w:line="1" w:lineRule="exact"/>
        <w:rPr>
          <w:rFonts w:ascii="Times New Roman" w:cs="Times New Roman" w:eastAsia="Times New Roman" w:hAnsi="Times New Roman"/>
          <w:sz w:val="18"/>
          <w:szCs w:val="18"/>
          <w:color w:val="auto"/>
        </w:rPr>
      </w:pPr>
    </w:p>
    <w:p>
      <w:pPr>
        <w:ind w:left="660" w:hanging="328"/>
        <w:spacing w:after="0" w:line="23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$6.8 million, or $0.53 per diluted share, for the first quarter of 2026 compared to $4.9 million or $0.38 per diluted share for the first quarter of 2025 and $4.1 million, or $0.32 per diluted share for the fourth quarter of 2025.</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$24.3 million for the first quarter of 2026, represents a 25.8% year-over-year increase and a 14.6% increase sequentially.</w:t>
      </w:r>
    </w:p>
    <w:p>
      <w:pPr>
        <w:spacing w:after="0" w:line="7" w:lineRule="exact"/>
        <w:rPr>
          <w:rFonts w:ascii="Times New Roman" w:cs="Times New Roman" w:eastAsia="Times New Roman" w:hAnsi="Times New Roman"/>
          <w:sz w:val="18"/>
          <w:szCs w:val="18"/>
          <w:color w:val="auto"/>
        </w:rPr>
      </w:pPr>
    </w:p>
    <w:p>
      <w:pPr>
        <w:ind w:left="660" w:hanging="328"/>
        <w:spacing w:after="0" w:line="24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with the dividend payable in the second quarter 2026, the Company is increasing its quarterly dividend from $0.11 to $0.15 per share, representing a 36% increase, in the second quarter 2026 reflecting confidence in the Company's cash generation and long-term outlook.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Management Commentary and Outlook</w:t>
      </w:r>
    </w:p>
    <w:p>
      <w:pPr>
        <w:spacing w:after="0" w:line="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"NGS delivered an exceptional start to 2026, highlighted by record quarterly rental revenue, adjusted gross margin, adjusted EBITDA, and horsepower utilization." said Justin Jacobs, Chief Executive Officer. "These results reflect disciplined execution in field service and growing demand for large horsepower compression. The increase in our 2026 Adjusted EBITDA guidance and the material increase in the Company's quarterly dividend underscore the strong start to the year as well as our favorable outlook for the balance of 2026."</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first quarter, we added approximately 17,000 horsepower to the fleet, all of which was large horsepower equipment and a majority of which was electric motor drive. These additions reinforce our continued focus on high-return, longer contract duration large horsepower applications, and we remain committed to deploying at least 50,000 horsepower during 2026."</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"Looking ahead, market fundamentals remain constructive. Recent customer commentary indicating improving oil production sentiment combined with midstream infrastructure build out to support increased natural gas production should drive material incremental demand for compression."</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"NGS remains well positioned to capture a disproportionate share of this growth given our advanced technology, the quality of our fleet, and the strength of our service team. We remain disciplined in our capital allocation framework as we continue to invest in organic fleet expansion, evaluate accretive M&amp;A opportunities, and look to increase return of capital to shareholders. Our leverage at quarter end is the lowest of the public comparable set—we maintain great flexibility to invest in growth and drive value for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36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Corporate Guidance — 2026 Outlook</w:t>
      </w:r>
    </w:p>
    <w:p>
      <w:pPr>
        <w:spacing w:after="0" w:line="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now expects 2026 Adjusted EBITDA of $92.5 million to $97.5 million, compared to prior guidance of $90.5 to $95.5 million. The updated guidance reflects strong first quarter performance, high utilization, and contracted fleet expansion balanced with expectations for inflationary pressures in the remainder of 2026.</w:t>
      </w:r>
    </w:p>
    <w:p>
      <w:pPr>
        <w:spacing w:after="0" w:line="65" w:lineRule="exact"/>
        <w:rPr>
          <w:sz w:val="20"/>
          <w:szCs w:val="20"/>
          <w:color w:val="auto"/>
        </w:rPr>
      </w:pPr>
    </w:p>
    <w:tbl>
      <w:tblPr>
        <w:tblLayout w:type="fixed"/>
        <w:tblInd w:w="134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310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Outlook</w:t>
            </w:r>
          </w:p>
        </w:tc>
      </w:tr>
      <w:tr>
        <w:trPr>
          <w:trHeight w:val="25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FY 2026 Adjusted EBITDA</w:t>
            </w:r>
          </w:p>
        </w:tc>
        <w:tc>
          <w:tcPr>
            <w:tcW w:w="31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$92.5 million - $97.5 million</w:t>
            </w:r>
          </w:p>
        </w:tc>
      </w:tr>
      <w:tr>
        <w:trPr>
          <w:trHeight w:val="257"/>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FY 2026 Growth Capital Expenditures</w:t>
            </w:r>
          </w:p>
        </w:tc>
        <w:tc>
          <w:tcPr>
            <w:tcW w:w="31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$55.0 million - $70.0 million</w:t>
            </w:r>
          </w:p>
        </w:tc>
      </w:tr>
      <w:tr>
        <w:trPr>
          <w:trHeight w:val="257"/>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FY 2026 Maintenance Capital Expenditures</w:t>
            </w:r>
          </w:p>
        </w:tc>
        <w:tc>
          <w:tcPr>
            <w:tcW w:w="31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$15.0 million - $18.0 million</w:t>
            </w:r>
          </w:p>
        </w:tc>
      </w:tr>
    </w:tbl>
    <w:p>
      <w:pPr>
        <w:spacing w:after="0" w:line="200" w:lineRule="exact"/>
        <w:rPr>
          <w:sz w:val="20"/>
          <w:szCs w:val="20"/>
          <w:color w:val="auto"/>
        </w:rPr>
      </w:pPr>
    </w:p>
    <w:p>
      <w:pPr>
        <w:spacing w:after="0" w:line="2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outlook for capital expenditures remains unchanged from last quarter. Growth capital expenditures for 2026 are expected in the range of $55 million to $70 million, reflecting continued investment in large horsepower compression units supported by multi-year customer contracts. Maintenance capital expenditures for 2026 are expected in the range of $15 million to $18 million consistent with the size, age, and operating profile of the Company's fleet.</w:t>
      </w:r>
    </w:p>
    <w:p>
      <w:pPr>
        <w:spacing w:after="0" w:line="6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Consistent with prior periods, the Company remains committed to disciplined capital allocation and investing in assets that generate attractive long-term returns for shareholders. The company's balance sheet and liquidity position provide flexibility to fund organic fleet expansion, evaluate strategic and accretive M&amp;A opportunities, and continue returning capital to shareholders.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2026 First Quarter Financial Results</w:t>
      </w:r>
    </w:p>
    <w:p>
      <w:pPr>
        <w:spacing w:after="0" w:line="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Total revenue for the three months ended March 31, 2026, increased 17.1% to $48.5 million from $41.4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2025. This increase was primarily attributable to higher rental revenues for the comparable periods. Rental revenue increased 6.3% to $47.1 million from $44.3 million in the fourth quarter of 2025 driven by contracted fleet expansion and continued pricing strength across the company's fleet. As of March 31, 2026, we had 574,969 rented horsepower (1,243 utilized units) compared to 492,679 horsepower (1,202 utilized units) as of March 31, 2025, reflecting a 16.7% increase in total utilized horsepower.</w:t>
      </w:r>
    </w:p>
    <w:p>
      <w:pPr>
        <w:spacing w:after="0" w:line="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Gross Margins and Adjusted Gross Margins: </w:t>
      </w:r>
      <w:r>
        <w:rPr>
          <w:rFonts w:ascii="Times New Roman" w:cs="Times New Roman" w:eastAsia="Times New Roman" w:hAnsi="Times New Roman"/>
          <w:sz w:val="18"/>
          <w:szCs w:val="18"/>
          <w:color w:val="auto"/>
        </w:rPr>
        <w:t>Total gross margins, including depreciation expense increased to $20.1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2026, compared to $15.7 million for the same period in 2025. Total adjusted gross margin, exclusive of depreciation expense, increased to $30.2 million for the three months ended March 31, 2026, compared to $24.3 million for the same period in 2025. For a reconciliation of Gross Margin, see Non-GAAP Financial Measures – Adjusted Gross Margin, below.</w:t>
      </w:r>
    </w:p>
    <w:p>
      <w:pPr>
        <w:spacing w:after="0" w:line="6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Operating income for the three months ended March 31, 2026, was $13.1 million compared to operating income of $9.5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comparable 2025 period.</w:t>
      </w:r>
    </w:p>
    <w:p>
      <w:pPr>
        <w:spacing w:after="0" w:line="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Net income for the three months ended March 31, 2026, was $6.8 million, or $0.53 per diluted share, compared to net income of $4.9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$0.38 per diluted share, for the comparable 2025 period and $4.1 million, or $0.32 per diluted share for the three months ended December 31, 2025. The year-over-year and sequential increases in net income were driven by the increases in rental revenue and the associated gross margin impact, partially offset by higher selling, general and administrative expenses, rental equipment depreciation and interest expense.</w:t>
      </w:r>
    </w:p>
    <w:p>
      <w:pPr>
        <w:spacing w:after="0" w:line="6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For the three months ended March 31, 2026, cash flows provided by operating activities were $23.0 million, while cash flows used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investing activities were $15.2 million. This compares to cash flows from operating activities of $21.3 million and cash flows used in investing activities of $19.3 million for the comparable three-month period in 2025.</w:t>
      </w:r>
    </w:p>
    <w:p>
      <w:pPr>
        <w:spacing w:after="0" w:line="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Adjusted EBITDA increased 25.8% to $24.3 million for the three months ended March 31, 2026, from $19.3 million for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2025. The increase was primarily attributable to higher rental revenue and rental adjusted gross margin. Sequentially, Adjusted EBITDA increased 14.6% when compared to $21.2 million for the three months ended December 31, 2025.</w:t>
      </w:r>
    </w:p>
    <w:p>
      <w:pPr>
        <w:spacing w:after="0" w:line="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color w:val="auto"/>
        </w:rPr>
        <w:t>Outstanding debt on our revolving credit facility as of December 31, 2025, was $226.0 million. Our leverage ratio as of March 31, 2026, was 2.33x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our fixed charge coverage ratio was 3.32x. The Company is in compliance with all terms, conditions and covenants of the credit agreement.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36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Selected data: </w:t>
      </w:r>
      <w:r>
        <w:rPr>
          <w:rFonts w:ascii="Times New Roman" w:cs="Times New Roman" w:eastAsia="Times New Roman" w:hAnsi="Times New Roman"/>
          <w:sz w:val="18"/>
          <w:szCs w:val="18"/>
          <w:color w:val="auto"/>
        </w:rPr>
        <w:t>The tables below show revenue by product line, gross margin and adjusted gross margin for the trailing five quarters. Adjusted gross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the difference between revenue and cost of sales, exclusive of depreciation.</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223"/>
        </w:trPr>
        <w:tc>
          <w:tcPr>
            <w:tcW w:w="2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center"/>
              <w:ind w:left="17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r>
      <w:tr>
        <w:trPr>
          <w:trHeight w:val="208"/>
        </w:trPr>
        <w:tc>
          <w:tcPr>
            <w:tcW w:w="2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225"/>
        </w:trPr>
        <w:tc>
          <w:tcPr>
            <w:tcW w:w="2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center"/>
              <w:ind w:left="351"/>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47,115</w:t>
            </w:r>
          </w:p>
        </w:tc>
      </w:tr>
      <w:tr>
        <w:trPr>
          <w:trHeight w:val="229"/>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3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Aftermarket services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2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48,467</w:t>
            </w:r>
          </w:p>
        </w:tc>
      </w:tr>
      <w:tr>
        <w:trPr>
          <w:trHeight w:val="21"/>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jc w:val="center"/>
              <w:ind w:left="411"/>
              <w:spacing w:after="0"/>
              <w:rPr>
                <w:sz w:val="20"/>
                <w:szCs w:val="20"/>
                <w:color w:val="auto"/>
              </w:rPr>
            </w:pPr>
            <w:r>
              <w:rPr>
                <w:rFonts w:ascii="Times New Roman" w:cs="Times New Roman" w:eastAsia="Times New Roman" w:hAnsi="Times New Roman"/>
                <w:sz w:val="18"/>
                <w:szCs w:val="18"/>
                <w:b w:val="1"/>
                <w:bCs w:val="1"/>
                <w:color w:val="auto"/>
                <w:w w:val="98"/>
              </w:rPr>
              <w:t>Gross Margin</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6"/>
          </w:tcPr>
          <w:p>
            <w:pPr>
              <w:jc w:val="center"/>
              <w:ind w:left="23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5"/>
          </w:tcPr>
          <w:p>
            <w:pPr>
              <w:jc w:val="center"/>
              <w:ind w:left="391"/>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Rental</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15,634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19,991</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w w:val="99"/>
              </w:rPr>
              <w:t>(75)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Aftermarket services</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15,717</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15,350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16,495</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20,083</w:t>
            </w:r>
          </w:p>
        </w:tc>
        <w:tc>
          <w:tcPr>
            <w:tcW w:w="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10"/>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7"/>
              </w:rPr>
              <w:t xml:space="preserve">Adjusted Gross Margin </w:t>
            </w:r>
            <w:r>
              <w:rPr>
                <w:rFonts w:ascii="Times New Roman" w:cs="Times New Roman" w:eastAsia="Times New Roman" w:hAnsi="Times New Roman"/>
                <w:sz w:val="23"/>
                <w:szCs w:val="23"/>
                <w:b w:val="1"/>
                <w:bCs w:val="1"/>
                <w:color w:val="auto"/>
                <w:w w:val="97"/>
                <w:vertAlign w:val="superscript"/>
              </w:rPr>
              <w:t>(1)</w:t>
            </w: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6"/>
          </w:tcPr>
          <w:p>
            <w:pPr>
              <w:jc w:val="center"/>
              <w:ind w:left="23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5"/>
          </w:tcPr>
          <w:p>
            <w:pPr>
              <w:jc w:val="center"/>
              <w:ind w:left="391"/>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Rental</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24,070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30,025</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Aftermarket services</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24,256</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24,223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25,828</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26,230</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30,248</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10"/>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Adjusted Gross Margin %</w:t>
            </w: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6"/>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720" w:type="dxa"/>
            <w:vAlign w:val="bottom"/>
            <w:gridSpan w:val="8"/>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52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Pr>
          <w:p>
            <w:pPr>
              <w:spacing w:after="0"/>
              <w:rPr>
                <w:sz w:val="18"/>
                <w:szCs w:val="18"/>
                <w:color w:val="auto"/>
              </w:rPr>
            </w:pPr>
          </w:p>
        </w:tc>
        <w:tc>
          <w:tcPr>
            <w:tcW w:w="17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 w:type="dxa"/>
            <w:vAlign w:val="bottom"/>
          </w:tcPr>
          <w:p>
            <w:pPr>
              <w:spacing w:after="0"/>
              <w:rPr>
                <w:sz w:val="18"/>
                <w:szCs w:val="18"/>
                <w:color w:val="auto"/>
              </w:rPr>
            </w:pPr>
          </w:p>
        </w:tc>
        <w:tc>
          <w:tcPr>
            <w:tcW w:w="170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225"/>
        </w:trPr>
        <w:tc>
          <w:tcPr>
            <w:tcW w:w="2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Rental</w:t>
            </w:r>
          </w:p>
        </w:tc>
        <w:tc>
          <w:tcPr>
            <w:tcW w:w="2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61.5 %</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58.5 %</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63.7 %</w:t>
            </w:r>
          </w:p>
        </w:tc>
      </w:tr>
      <w:tr>
        <w:trPr>
          <w:trHeight w:val="229"/>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r>
      <w:tr>
        <w:trPr>
          <w:trHeight w:val="230"/>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Aftermarket services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31.3 %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41.3 %</w:t>
            </w:r>
          </w:p>
        </w:tc>
      </w:tr>
      <w:tr>
        <w:trPr>
          <w:trHeight w:val="234"/>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59.5 %</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56.8 %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62.4 %</w:t>
            </w:r>
          </w:p>
        </w:tc>
      </w:tr>
      <w:tr>
        <w:trPr>
          <w:trHeight w:val="346"/>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1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Operating Statistics (at end of period):</w:t>
            </w: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6"/>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720" w:type="dxa"/>
            <w:vAlign w:val="bottom"/>
            <w:gridSpan w:val="8"/>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0" w:type="dxa"/>
            <w:vAlign w:val="bottom"/>
          </w:tcPr>
          <w:p>
            <w:pPr>
              <w:spacing w:after="0"/>
              <w:rPr>
                <w:sz w:val="18"/>
                <w:szCs w:val="18"/>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Pr>
          <w:p>
            <w:pPr>
              <w:spacing w:after="0"/>
              <w:rPr>
                <w:sz w:val="18"/>
                <w:szCs w:val="18"/>
                <w:color w:val="auto"/>
              </w:rPr>
            </w:pPr>
          </w:p>
        </w:tc>
        <w:tc>
          <w:tcPr>
            <w:tcW w:w="17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 w:type="dxa"/>
            <w:vAlign w:val="bottom"/>
          </w:tcPr>
          <w:p>
            <w:pPr>
              <w:spacing w:after="0"/>
              <w:rPr>
                <w:sz w:val="18"/>
                <w:szCs w:val="18"/>
                <w:color w:val="auto"/>
              </w:rPr>
            </w:pPr>
          </w:p>
        </w:tc>
        <w:tc>
          <w:tcPr>
            <w:tcW w:w="17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Pr>
          <w:p>
            <w:pPr>
              <w:spacing w:after="0"/>
              <w:rPr>
                <w:sz w:val="18"/>
                <w:szCs w:val="18"/>
                <w:color w:val="auto"/>
              </w:rPr>
            </w:pPr>
          </w:p>
        </w:tc>
        <w:tc>
          <w:tcPr>
            <w:tcW w:w="15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Horsepower Utilized</w:t>
            </w:r>
          </w:p>
        </w:tc>
        <w:tc>
          <w:tcPr>
            <w:tcW w:w="2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492,679</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498,651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526,015</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562,676</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574,969</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Horsepower</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603,391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596,322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625,686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662,542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661,872</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Horsepower Utilization</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81.7 %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83.6 %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86.9 %</w:t>
            </w:r>
          </w:p>
        </w:tc>
        <w:tc>
          <w:tcPr>
            <w:tcW w:w="40" w:type="dxa"/>
            <w:vAlign w:val="bottom"/>
          </w:tcPr>
          <w:p>
            <w:pPr>
              <w:spacing w:after="0"/>
              <w:rPr>
                <w:sz w:val="19"/>
                <w:szCs w:val="19"/>
                <w:color w:val="auto"/>
              </w:rPr>
            </w:pPr>
          </w:p>
        </w:tc>
      </w:tr>
      <w:tr>
        <w:trPr>
          <w:trHeight w:val="108"/>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29"/>
        </w:trPr>
        <w:tc>
          <w:tcPr>
            <w:tcW w:w="20" w:type="dxa"/>
            <w:vAlign w:val="bottom"/>
          </w:tcPr>
          <w:p>
            <w:pPr>
              <w:spacing w:after="0"/>
              <w:rPr>
                <w:sz w:val="19"/>
                <w:szCs w:val="19"/>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 Utilized</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Units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 Utilization</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62.7 %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65.4 %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69.0 %</w:t>
            </w:r>
          </w:p>
        </w:tc>
        <w:tc>
          <w:tcPr>
            <w:tcW w:w="40" w:type="dxa"/>
            <w:vAlign w:val="bottom"/>
          </w:tcPr>
          <w:p>
            <w:pPr>
              <w:spacing w:after="0"/>
              <w:rPr>
                <w:sz w:val="19"/>
                <w:szCs w:val="19"/>
                <w:color w:val="auto"/>
              </w:rPr>
            </w:pPr>
          </w:p>
        </w:tc>
      </w:tr>
    </w:tbl>
    <w:p>
      <w:pPr>
        <w:spacing w:after="0" w:line="117" w:lineRule="exact"/>
        <w:rPr>
          <w:sz w:val="20"/>
          <w:szCs w:val="20"/>
          <w:color w:val="auto"/>
        </w:rPr>
      </w:pPr>
    </w:p>
    <w:p>
      <w:pPr>
        <w:ind w:firstLine="8"/>
        <w:spacing w:after="0" w:line="282" w:lineRule="auto"/>
        <w:tabs>
          <w:tab w:leader="none" w:pos="2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reconciliation of adjusted gross margin to its most directly comparable financial measure calculated and presented in accordance with GAAP, please read “Non-GAAP Financial Measures - Adjusted Gross Margin” below.</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360" w:right="33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Non-GAAP Financial Measure - Adjusted Gross Margin: </w:t>
      </w:r>
      <w:r>
        <w:rPr>
          <w:rFonts w:ascii="Times New Roman" w:cs="Times New Roman" w:eastAsia="Times New Roman" w:hAnsi="Times New Roman"/>
          <w:sz w:val="18"/>
          <w:szCs w:val="18"/>
          <w:color w:val="auto"/>
        </w:rPr>
        <w:t>“Adjusted Gross Margin” is defined as total revenue less costs of revenues (excluding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depreciation and amortization expense). Adjusted Gross Margin is included as a supplemental disclosure because it is a primary measure used by our management as it represents the results of revenue and costs (excluding depreciation and amortization expense), which are key components of our operations. Adjusted Gross Margin differs from gross margin, in that gross margin includes depreciation and amortization expense. We believe Adjusted Gross Margin is important because it focuses on the current operating performance of our operations and excludes the impact of the prior historical costs of the assets acquired or constructed that are utilized in those operations. Depreciation and amortization expense does not accurately reflect the costs required to maintain and replenish the operational usage of our assets and therefore may not portray the costs from current operating activity. Rather, depreciation and amortization expense reflects the systematic allocation of historical property and equipment costs over their estimated useful lives.</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Adjusted Gross Margin has certain material limitations associated with its use as compared to gross margin. These limitations are primarily due to the exclusion of depreciation and amortization expense, which is material to our results of operations. Because we use capital assets, depreciation and amortization expense is a necessary element of our costs and our ability to generate revenue. In order to compensate for these limitations, management uses this non-GAAP measure as a supplemental measure to other GAAP results to provide a more complete understanding of our performance. As an indicator of our operating performance, Adjusted Gross Margin should not be considered an alternative to, or more meaningful than, gross margin as determined in accordance with GAAP. Our Adjusted Gross Margin may not be comparable to a similarly titled measure of another company because other entities may not calculate Adjusted Gross Margin in the same manner.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calculates our gross margin, the most directly comparable GAAP financial measure, and reconciles it to Adjusted Gross Margin:</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17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08"/>
        </w:trPr>
        <w:tc>
          <w:tcPr>
            <w:tcW w:w="2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225"/>
        </w:trPr>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center"/>
              <w:ind w:left="351"/>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rPr>
              <w:t>48,467</w:t>
            </w:r>
          </w:p>
        </w:tc>
      </w:tr>
      <w:tr>
        <w:trPr>
          <w:trHeight w:val="175"/>
        </w:trPr>
        <w:tc>
          <w:tcPr>
            <w:tcW w:w="2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Costs of revenue, exclusive of</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43"/>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7"/>
              </w:rPr>
              <w:t>(18,219)</w:t>
            </w:r>
          </w:p>
        </w:tc>
      </w:tr>
      <w:tr>
        <w:trPr>
          <w:trHeight w:val="176"/>
        </w:trPr>
        <w:tc>
          <w:tcPr>
            <w:tcW w:w="2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 allocable to costs of</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4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center"/>
              <w:ind w:left="791"/>
              <w:spacing w:after="0"/>
              <w:rPr>
                <w:sz w:val="20"/>
                <w:szCs w:val="20"/>
                <w:color w:val="auto"/>
              </w:rPr>
            </w:pPr>
            <w:r>
              <w:rPr>
                <w:rFonts w:ascii="Times New Roman" w:cs="Times New Roman" w:eastAsia="Times New Roman" w:hAnsi="Times New Roman"/>
                <w:sz w:val="18"/>
                <w:szCs w:val="18"/>
                <w:color w:val="auto"/>
                <w:w w:val="97"/>
              </w:rPr>
              <w:t>(10,165)</w:t>
            </w:r>
          </w:p>
        </w:tc>
      </w:tr>
      <w:tr>
        <w:trPr>
          <w:trHeight w:val="223"/>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rPr>
              <w:t>20,083</w:t>
            </w:r>
          </w:p>
        </w:tc>
      </w:tr>
      <w:tr>
        <w:trPr>
          <w:trHeight w:val="175"/>
        </w:trPr>
        <w:tc>
          <w:tcPr>
            <w:tcW w:w="2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 allocable to costs of</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4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rPr>
              <w:t>10,165</w:t>
            </w:r>
          </w:p>
        </w:tc>
      </w:tr>
      <w:tr>
        <w:trPr>
          <w:trHeight w:val="223"/>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Margin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center"/>
              <w:ind w:left="811"/>
              <w:spacing w:after="0"/>
              <w:rPr>
                <w:sz w:val="20"/>
                <w:szCs w:val="20"/>
                <w:color w:val="auto"/>
              </w:rPr>
            </w:pPr>
            <w:r>
              <w:rPr>
                <w:rFonts w:ascii="Times New Roman" w:cs="Times New Roman" w:eastAsia="Times New Roman" w:hAnsi="Times New Roman"/>
                <w:sz w:val="18"/>
                <w:szCs w:val="18"/>
                <w:color w:val="auto"/>
              </w:rPr>
              <w:t>30,248</w:t>
            </w:r>
          </w:p>
        </w:tc>
      </w:tr>
      <w:tr>
        <w:trPr>
          <w:trHeight w:val="21"/>
        </w:trPr>
        <w:tc>
          <w:tcPr>
            <w:tcW w:w="2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36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Non-GAAP Financial Measures - Adjusted EBITDA: </w:t>
      </w:r>
      <w:r>
        <w:rPr>
          <w:rFonts w:ascii="Times New Roman" w:cs="Times New Roman" w:eastAsia="Times New Roman" w:hAnsi="Times New Roman"/>
          <w:sz w:val="18"/>
          <w:szCs w:val="18"/>
          <w:color w:val="auto"/>
        </w:rPr>
        <w:t>“Adjusted EBITDA” is a non-GAAP financial measure that we define as net income (loss) before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taxes, depreciation and amortization, as well as an increase in inventory allowance, impairments, retirement of rental equipment, nonrecurring restructuring charges including severance and non-cash equity-classified stock-based compensation expenses. This term, as used and defined by us, may not be comparable to similarly titled measures employed by other companies and is not a measure of performance calculated in accordance with GAAP. Adjusted EBITDA should not be considered in isolation or as a substitute for operating income, net income or loss, cash flows provided by operating, investing and financing activities, or other income or cash flow statement data prepared in accordance with GAAP. However, management believes Adjusted EBITDA is useful to an investor in evaluating our operating performance because: (i) it is widely used by investors in the energy industry to measure a company’s operating performance without regard to items excluded from the calculation of Adjusted EBITDA, which can vary substantially from company to company depending upon accounting methods and book value of assets, capital structure and the method by which assets were acquired, among other factors; (ii) it helps investors to more meaningfully evaluate and compare the results of our operations from period to period by removing the impact of our capital structure and asset base from our operating structure; and (iii) it is used by our management for various purposes, including as a measure of operating performance, in presentations to our Board of Directors, and as a basis for strategic planning and forecasting.</w:t>
      </w:r>
    </w:p>
    <w:p>
      <w:pPr>
        <w:spacing w:after="0" w:line="2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Adjusted EBITDA has limitations as an analytical tool, and you should not consider it in isolation, or as a substitute for analysis of our results as reported under GAAP. Some of these limitations are as follows: (i) Adjusted EBITDA does not reflect all our cash expenditures, future requirements for capital expenditures, or contractual commitments; (ii) Adjusted EBITDA does not reflect changes in, or cash requirements for, our working capital needs; (iii) Adjusted EBITDA does not reflect the cash requirements necessary to service interest or principal payments on our debt and finance leases; and (iv) although depreciation and amortization are non-cash charges, the assets being depreciated and amortized will often have to be replaced in the future, and Adjusted EBITDA does not reflect any capital expenditures for such replacements.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reconciles our net income, the most directly comparable GAAP financial measure, to Adjusted EBITDA: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19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08"/>
        </w:trPr>
        <w:tc>
          <w:tcPr>
            <w:tcW w:w="2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225"/>
        </w:trPr>
        <w:tc>
          <w:tcPr>
            <w:tcW w:w="2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center"/>
              <w:ind w:left="411"/>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w:t>
            </w:r>
          </w:p>
        </w:tc>
      </w:tr>
      <w:tr>
        <w:trPr>
          <w:trHeight w:val="230"/>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w:t>
            </w:r>
          </w:p>
        </w:tc>
      </w:tr>
      <w:tr>
        <w:trPr>
          <w:trHeight w:val="230"/>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r>
      <w:tr>
        <w:trPr>
          <w:trHeight w:val="230"/>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w:t>
            </w:r>
          </w:p>
        </w:tc>
      </w:tr>
      <w:tr>
        <w:trPr>
          <w:trHeight w:val="229"/>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Impairments</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allowance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Retirement of rental equipment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184"/>
        </w:trPr>
        <w:tc>
          <w:tcPr>
            <w:tcW w:w="26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Severance and restructuring</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3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charges</w:t>
            </w: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48"/>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24,263</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Conference Call Details: </w:t>
      </w:r>
      <w:r>
        <w:rPr>
          <w:rFonts w:ascii="Times New Roman" w:cs="Times New Roman" w:eastAsia="Times New Roman" w:hAnsi="Times New Roman"/>
          <w:sz w:val="18"/>
          <w:szCs w:val="18"/>
          <w:color w:val="202020"/>
        </w:rPr>
        <w:t>The Company will host a conference call to review its third-quarter results on Tuesday, May 12, 2026 at 8:30 a.m. (EST), 7:30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02020"/>
        </w:rPr>
        <w:t xml:space="preserve">a.m. (CST). To join the conference call, kindly access the Investor Relations section of our website at </w:t>
      </w:r>
      <w:r>
        <w:rPr>
          <w:rFonts w:ascii="Times New Roman" w:cs="Times New Roman" w:eastAsia="Times New Roman" w:hAnsi="Times New Roman"/>
          <w:sz w:val="18"/>
          <w:szCs w:val="18"/>
          <w:color w:val="1359A5"/>
        </w:rPr>
        <w:t>www.ngsgi.com</w:t>
      </w:r>
      <w:r>
        <w:rPr>
          <w:rFonts w:ascii="Times New Roman" w:cs="Times New Roman" w:eastAsia="Times New Roman" w:hAnsi="Times New Roman"/>
          <w:sz w:val="18"/>
          <w:szCs w:val="18"/>
          <w:color w:val="202020"/>
        </w:rPr>
        <w:t xml:space="preserve"> or dial in at (800) 550-9745 and enter conference ID 167298 at least five minutes prior to the scheduled start time. Please note that using the provided dial-in number is necessary for participation in the Q&amp;A section of the call. A recording of the conference will be made available on our Company's website following its conclusion. Thank you for your interest in our Company's updates.</w:t>
      </w:r>
    </w:p>
    <w:p>
      <w:pPr>
        <w:spacing w:after="0" w:line="1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About Natural Gas Services Group, Inc. (NGS): </w:t>
      </w:r>
      <w:r>
        <w:rPr>
          <w:rFonts w:ascii="Times New Roman" w:cs="Times New Roman" w:eastAsia="Times New Roman" w:hAnsi="Times New Roman"/>
          <w:sz w:val="18"/>
          <w:szCs w:val="18"/>
          <w:color w:val="auto"/>
        </w:rPr>
        <w:t>Natural Gas Services Group is a leading provider of natural gas and electric compression equipment,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technology and services to the energy industry. The Company rents, designs, installs, services and maintains natural gas and electric compressors for oil and natural gas production and processing facilities, generally using equipment from third-party fabricators and OEM suppliers along with limited in-house assembly. The Company is headquartered in Southlake, Texas, with administrative offices in Midland, Texas, an assembly facility located in Tulsa, Oklahoma, and service facilities located in major oil and natural gas producing basins in the U.S. Additional information can be found at </w:t>
      </w:r>
      <w:r>
        <w:rPr>
          <w:rFonts w:ascii="Times New Roman" w:cs="Times New Roman" w:eastAsia="Times New Roman" w:hAnsi="Times New Roman"/>
          <w:sz w:val="18"/>
          <w:szCs w:val="18"/>
          <w:color w:val="202020"/>
        </w:rPr>
        <w:t>www.ngsgi.com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36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02020"/>
        </w:rPr>
        <w:t>Forward-Looking Statements</w:t>
      </w:r>
    </w:p>
    <w:p>
      <w:pPr>
        <w:spacing w:after="0" w:line="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202020"/>
        </w:rPr>
        <w:t>Certain statements herein (and oral statements made regarding the subjects of this release) constitute “forward-looking statements” within the meaning of the federal securities laws. Words such as “could,” “may,” “will,” “might,” “should,” “believe,” “expect,” “anticipate,” “estimate,” “continue,” “predict,” “forecast,” “project,” “plan,” “intend” or similar expressions, or statements regarding intent, belief, or current expectations, are forward-looking statements. These forward-looking statements are based upon current estimates and assumptions.</w:t>
      </w:r>
    </w:p>
    <w:p>
      <w:pPr>
        <w:spacing w:after="0" w:line="1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202020"/>
        </w:rPr>
        <w:t>These forward–looking statements rely on a number of assumptions concerning future events and are subject to a number of uncertainties and factors that could cause actual results to differ materially from such statements, many of which are outside the control of the Company. Forward–looking information includes, but is not limited to statements regarding: guidance or estimates related to EBITDA growth, projected capital expenditures; returns on invested capital, fundamentals of the compression industry and related oil and gas industry, valuations, compressor demand assumptions and overall industry outlook, and the ability of the Company to capitalize on any potential opportunities.</w:t>
      </w:r>
    </w:p>
    <w:p>
      <w:pPr>
        <w:spacing w:after="0" w:line="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02020"/>
        </w:rPr>
        <w:t>While the Company believes that the assumptions concerning future events are reasonable, investors are cautioned that there are inherent difficulties in predicting certain important factors that could impact the future performance or results of its business. Some of these factors that could cause results to differ materially from those indicated by such forward-looking statements include, but are not limited to:</w:t>
      </w:r>
    </w:p>
    <w:p>
      <w:pPr>
        <w:spacing w:after="0" w:line="1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2020"/>
        </w:rPr>
        <w:t>conditions in the oil and gas industry, including the supply and demand for oil and gas and volatility in the prices of oil and gas;</w:t>
      </w:r>
    </w:p>
    <w:p>
      <w:pPr>
        <w:spacing w:after="0" w:line="15" w:lineRule="exact"/>
        <w:rPr>
          <w:rFonts w:ascii="Times New Roman" w:cs="Times New Roman" w:eastAsia="Times New Roman" w:hAnsi="Times New Roman"/>
          <w:sz w:val="18"/>
          <w:szCs w:val="18"/>
          <w:color w:val="auto"/>
        </w:rPr>
      </w:pPr>
    </w:p>
    <w:p>
      <w:pPr>
        <w:jc w:val="both"/>
        <w:ind w:left="660" w:right="20" w:hanging="328"/>
        <w:spacing w:after="0" w:line="234" w:lineRule="auto"/>
        <w:tabs>
          <w:tab w:leader="none" w:pos="655" w:val="left"/>
        </w:tabs>
        <w:numPr>
          <w:ilvl w:val="0"/>
          <w:numId w:val="5"/>
        </w:numPr>
        <w:rPr>
          <w:rFonts w:ascii="Times New Roman" w:cs="Times New Roman" w:eastAsia="Times New Roman" w:hAnsi="Times New Roman"/>
          <w:sz w:val="18"/>
          <w:szCs w:val="18"/>
          <w:color w:val="202020"/>
        </w:rPr>
      </w:pPr>
      <w:r>
        <w:rPr>
          <w:rFonts w:ascii="Times New Roman" w:cs="Times New Roman" w:eastAsia="Times New Roman" w:hAnsi="Times New Roman"/>
          <w:sz w:val="18"/>
          <w:szCs w:val="18"/>
          <w:color w:val="auto"/>
        </w:rPr>
        <w:t>changes in general economic and financial conditions, inflationary pressures, the potential for economic recession in the U.S., tariffs and trade restrictions, including the imposition of new and higher tariffs on imported goods and retaliatory tariffs implemented by other countries on U.S. goods, and the potential effects on our financial condition, results of operations and cash flows;</w:t>
      </w:r>
    </w:p>
    <w:p>
      <w:pPr>
        <w:spacing w:after="0" w:line="2" w:lineRule="exact"/>
        <w:rPr>
          <w:rFonts w:ascii="Times New Roman" w:cs="Times New Roman" w:eastAsia="Times New Roman" w:hAnsi="Times New Roman"/>
          <w:sz w:val="18"/>
          <w:szCs w:val="18"/>
          <w:color w:val="202020"/>
        </w:rPr>
      </w:pP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2020"/>
        </w:rPr>
        <w:t>our reliance on major customers;</w:t>
      </w:r>
    </w:p>
    <w:p>
      <w:pPr>
        <w:ind w:left="660" w:hanging="328"/>
        <w:spacing w:after="0" w:line="22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2020"/>
        </w:rPr>
        <w:t>failure of projected organic growth due to adverse changes in the oil and gas industry, including depressed oil and gas prices, oppressive environmental regulations and competition;</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2020"/>
        </w:rPr>
        <w:t>our inability to achieve increased utilization of assets, including rental fleet utilization and monetizing other non-cash balance sheet assets;</w:t>
      </w: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2020"/>
        </w:rPr>
        <w:t>failure of our customers to continue to rent equipment after expiration of the primary rental term;</w:t>
      </w:r>
    </w:p>
    <w:p>
      <w:pPr>
        <w:ind w:left="660" w:hanging="328"/>
        <w:spacing w:after="0" w:line="23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2020"/>
        </w:rPr>
        <w:t>our ability to economically develop and deploy new technologies and services, including technology to comply with health and environmental laws and regulations;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2020"/>
        </w:rPr>
        <w:t>failure to achieve accretive financial results in connection with any acquisitions we may make;</w:t>
      </w: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2020"/>
        </w:rPr>
        <w:t>fluctuations in interest rates;</w:t>
      </w: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202020"/>
        </w:rPr>
      </w:pPr>
      <w:r>
        <w:rPr>
          <w:rFonts w:ascii="Times New Roman" w:cs="Times New Roman" w:eastAsia="Times New Roman" w:hAnsi="Times New Roman"/>
          <w:sz w:val="18"/>
          <w:szCs w:val="18"/>
          <w:color w:val="auto"/>
        </w:rPr>
        <w:t>our ability to make dividends, distributions and share repurchases;</w:t>
      </w: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2020"/>
        </w:rPr>
        <w:t>changes in regulation or prohibition of new or current well completion techniques;</w:t>
      </w: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2020"/>
        </w:rPr>
        <w:t>competition among the various providers of compression services and products;</w:t>
      </w: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2020"/>
        </w:rPr>
        <w:t>changes in safety, health and environmental regulations;</w:t>
      </w: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2020"/>
        </w:rPr>
        <w:t>changes in economic or political conditions in the markets in which we operate;</w:t>
      </w:r>
    </w:p>
    <w:p>
      <w:pPr>
        <w:ind w:left="660" w:hanging="328"/>
        <w:spacing w:after="0" w:line="22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2020"/>
        </w:rPr>
        <w:t>the inherent risks associated with our operations, such as equipment defects, malfunctions, natural disasters and adverse changes in customer, employee and supplier relationships;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2020"/>
        </w:rPr>
        <w:t>our inability to comply with covenants in our debt agreements and the decreased financial flexibility associated with our debt;</w:t>
      </w: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2020"/>
        </w:rPr>
        <w:t>inability to finance our future capital requirements and availability of financing;</w:t>
      </w: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202020"/>
        </w:rPr>
      </w:pPr>
      <w:r>
        <w:rPr>
          <w:rFonts w:ascii="Times New Roman" w:cs="Times New Roman" w:eastAsia="Times New Roman" w:hAnsi="Times New Roman"/>
          <w:sz w:val="18"/>
          <w:szCs w:val="18"/>
          <w:color w:val="auto"/>
        </w:rPr>
        <w:t>cybersecurity threats, including increased use of artificial intelligence and other emerging technologies;</w:t>
      </w: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2020"/>
        </w:rPr>
        <w:t>capacity availability, costs and performance of our outsourced compressor fabrication providers and overall inflationary pressures;</w:t>
      </w:r>
    </w:p>
    <w:p>
      <w:pPr>
        <w:jc w:val="both"/>
        <w:ind w:left="660" w:hanging="328"/>
        <w:spacing w:after="0" w:line="234" w:lineRule="auto"/>
        <w:tabs>
          <w:tab w:leader="none" w:pos="655" w:val="left"/>
        </w:tabs>
        <w:numPr>
          <w:ilvl w:val="0"/>
          <w:numId w:val="5"/>
        </w:numPr>
        <w:rPr>
          <w:rFonts w:ascii="Times New Roman" w:cs="Times New Roman" w:eastAsia="Times New Roman" w:hAnsi="Times New Roman"/>
          <w:sz w:val="18"/>
          <w:szCs w:val="18"/>
          <w:color w:val="202020"/>
        </w:rPr>
      </w:pPr>
      <w:r>
        <w:rPr>
          <w:rFonts w:ascii="Times New Roman" w:cs="Times New Roman" w:eastAsia="Times New Roman" w:hAnsi="Times New Roman"/>
          <w:sz w:val="18"/>
          <w:szCs w:val="18"/>
          <w:color w:val="auto"/>
        </w:rPr>
        <w:t>impacts of world events, such as acts of terrorism, the conflicts in Iran, Ukraine, Venezuela and in the greater Middle East, and significant economic disruptions and adverse consequences resulting from possible long-term effects of potential pandemics and other public health crises; and</w:t>
      </w:r>
    </w:p>
    <w:p>
      <w:pPr>
        <w:spacing w:after="0" w:line="2" w:lineRule="exact"/>
        <w:rPr>
          <w:rFonts w:ascii="Times New Roman" w:cs="Times New Roman" w:eastAsia="Times New Roman" w:hAnsi="Times New Roman"/>
          <w:sz w:val="18"/>
          <w:szCs w:val="18"/>
          <w:color w:val="202020"/>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2020"/>
        </w:rPr>
        <w:t>general economic conditions.</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202020"/>
        </w:rPr>
        <w:t>In addition, these forward-looking statements are subject to other various risks and uncertainties, including without limitation those set forth in the Company’s filings with the Securities and Exchange Commission, including the Company's Annual Report on Form 10-K for the year ended December 31, 2025. Thus, actual results could be materially different. The Company expressly disclaims any obligation to update or alter statements whether as a result of new information, future events or otherwise, except as required by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Contact: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Glenn Wiener, Investor Relations</w:t>
      </w:r>
    </w:p>
    <w:p>
      <w:pPr>
        <w:jc w:val="both"/>
        <w:ind w:right="10060" w:firstLine="8"/>
        <w:spacing w:after="0" w:line="246" w:lineRule="auto"/>
        <w:tabs>
          <w:tab w:leader="none" w:pos="4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262-2700 </w:t>
      </w:r>
      <w:r>
        <w:rPr>
          <w:rFonts w:ascii="Times New Roman" w:cs="Times New Roman" w:eastAsia="Times New Roman" w:hAnsi="Times New Roman"/>
          <w:sz w:val="18"/>
          <w:szCs w:val="18"/>
          <w:color w:val="0000FF"/>
        </w:rPr>
        <w:t>IR@ngsgi.com www.ngsgi.com</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36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NATURAL GAS SERVICES GROUP, INC.</w:t>
      </w:r>
    </w:p>
    <w:p>
      <w:pPr>
        <w:jc w:val="center"/>
        <w:ind w:right="20"/>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ind w:right="20"/>
        <w:spacing w:after="0" w:line="219" w:lineRule="auto"/>
        <w:rPr>
          <w:sz w:val="20"/>
          <w:szCs w:val="20"/>
          <w:color w:val="auto"/>
        </w:rPr>
      </w:pPr>
      <w:r>
        <w:rPr>
          <w:rFonts w:ascii="Times New Roman" w:cs="Times New Roman" w:eastAsia="Times New Roman" w:hAnsi="Times New Roman"/>
          <w:sz w:val="18"/>
          <w:szCs w:val="18"/>
          <w:i w:val="1"/>
          <w:iCs w:val="1"/>
          <w:color w:val="auto"/>
        </w:rPr>
        <w:t>(in thousands, except par value)</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tbl>
      <w:tblPr>
        <w:tblLayout w:type="fixed"/>
        <w:tblInd w:w="0" w:type="dxa"/>
        <w:tblCellMar>
          <w:top w:w="0" w:type="dxa"/>
          <w:left w:w="0" w:type="dxa"/>
          <w:bottom w:w="0" w:type="dxa"/>
          <w:right w:w="0" w:type="dxa"/>
        </w:tblCellMar>
      </w:tblPr>
      <w:tr>
        <w:trPr>
          <w:trHeight w:val="183"/>
        </w:trPr>
        <w:tc>
          <w:tcPr>
            <w:tcW w:w="8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ind w:left="120"/>
              <w:spacing w:after="0" w:line="183"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43"/>
        </w:trPr>
        <w:tc>
          <w:tcPr>
            <w:tcW w:w="8040" w:type="dxa"/>
            <w:vAlign w:val="bottom"/>
            <w:vMerge w:val="restart"/>
          </w:tcPr>
          <w:p>
            <w:pPr>
              <w:ind w:left="3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152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receivable, net of provision for credit losses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18,497</w:t>
            </w:r>
          </w:p>
        </w:tc>
        <w:tc>
          <w:tcPr>
            <w:tcW w:w="0" w:type="dxa"/>
            <w:vAlign w:val="bottom"/>
          </w:tcPr>
          <w:p>
            <w:pPr>
              <w:spacing w:after="0"/>
              <w:rPr>
                <w:sz w:val="1"/>
                <w:szCs w:val="1"/>
                <w:color w:val="auto"/>
              </w:rPr>
            </w:pPr>
          </w:p>
        </w:tc>
      </w:tr>
      <w:tr>
        <w:trPr>
          <w:trHeight w:val="229"/>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net of allowance for obsolescence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receivable and prepayments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14,056</w:t>
            </w:r>
          </w:p>
        </w:tc>
        <w:tc>
          <w:tcPr>
            <w:tcW w:w="0" w:type="dxa"/>
            <w:vAlign w:val="bottom"/>
          </w:tcPr>
          <w:p>
            <w:pPr>
              <w:spacing w:after="0"/>
              <w:rPr>
                <w:sz w:val="1"/>
                <w:szCs w:val="1"/>
                <w:color w:val="auto"/>
              </w:rPr>
            </w:pPr>
          </w:p>
        </w:tc>
      </w:tr>
      <w:tr>
        <w:trPr>
          <w:trHeight w:val="230"/>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Assets held for sale</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0" w:type="dxa"/>
            <w:vAlign w:val="bottom"/>
          </w:tcPr>
          <w:p>
            <w:pPr>
              <w:spacing w:after="0"/>
              <w:rPr>
                <w:sz w:val="1"/>
                <w:szCs w:val="1"/>
                <w:color w:val="auto"/>
              </w:rPr>
            </w:pPr>
          </w:p>
        </w:tc>
      </w:tr>
      <w:tr>
        <w:trPr>
          <w:trHeight w:val="223"/>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57,123</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inventory, net of allowance for obsolescence</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equipment, net of accumulated depreciation</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498,525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20,519</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10,619</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586,786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14,048</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w:t>
            </w:r>
          </w:p>
        </w:tc>
        <w:tc>
          <w:tcPr>
            <w:tcW w:w="0" w:type="dxa"/>
            <w:vAlign w:val="bottom"/>
          </w:tcPr>
          <w:p>
            <w:pPr>
              <w:spacing w:after="0"/>
              <w:rPr>
                <w:sz w:val="1"/>
                <w:szCs w:val="1"/>
                <w:color w:val="auto"/>
              </w:rPr>
            </w:pPr>
          </w:p>
        </w:tc>
      </w:tr>
      <w:tr>
        <w:trPr>
          <w:trHeight w:val="223"/>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0" w:type="dxa"/>
            <w:vAlign w:val="bottom"/>
          </w:tcPr>
          <w:p>
            <w:pPr>
              <w:spacing w:after="0"/>
              <w:rPr>
                <w:sz w:val="1"/>
                <w:szCs w:val="1"/>
                <w:color w:val="auto"/>
              </w:rPr>
            </w:pPr>
          </w:p>
        </w:tc>
      </w:tr>
      <w:tr>
        <w:trPr>
          <w:trHeight w:val="223"/>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312,070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30,000 shares authorized, par value $0.01; 13,907 and 13,883 shares issued, respectively</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120,811</w:t>
            </w:r>
          </w:p>
        </w:tc>
        <w:tc>
          <w:tcPr>
            <w:tcW w:w="0" w:type="dxa"/>
            <w:vAlign w:val="bottom"/>
          </w:tcPr>
          <w:p>
            <w:pPr>
              <w:spacing w:after="0"/>
              <w:rPr>
                <w:sz w:val="1"/>
                <w:szCs w:val="1"/>
                <w:color w:val="auto"/>
              </w:rPr>
            </w:pPr>
          </w:p>
        </w:tc>
      </w:tr>
      <w:tr>
        <w:trPr>
          <w:trHeight w:val="230"/>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168,771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Treasury shares, at cost, 1,310 shares for each of the periods presented, respectively</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(15,004)</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280,534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274,716</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586,786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40" w:top="36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NATURAL GAS SERVICES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earnings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r>
      <w:tr>
        <w:trPr>
          <w:trHeight w:val="223"/>
        </w:trPr>
        <w:tc>
          <w:tcPr>
            <w:tcW w:w="8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38,910</w:t>
            </w: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29"/>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Aftermarket services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41,383</w:t>
            </w:r>
          </w:p>
        </w:tc>
      </w:tr>
      <w:tr>
        <w:trPr>
          <w:trHeight w:val="20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 (excluding depreciation and amortization):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14,840</w:t>
            </w:r>
          </w:p>
        </w:tc>
      </w:tr>
      <w:tr>
        <w:trPr>
          <w:trHeight w:val="229"/>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r>
      <w:tr>
        <w:trPr>
          <w:trHeight w:val="22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Aftermarket services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revenues (excluding depreciation and amortization)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17,127</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allowance</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rental equipment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31,876</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r>
      <w:tr>
        <w:trPr>
          <w:trHeight w:val="230"/>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4,854</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8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2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12,462</w:t>
            </w:r>
          </w:p>
        </w:tc>
      </w:tr>
      <w:tr>
        <w:trPr>
          <w:trHeight w:val="234"/>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360"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NATURAL GAS SERVICES GROUP, INC.</w:t>
      </w:r>
    </w:p>
    <w:p>
      <w:pPr>
        <w:jc w:val="center"/>
        <w:ind w:right="500"/>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ind w:right="500"/>
        <w:spacing w:after="0" w:line="203" w:lineRule="auto"/>
        <w:rPr>
          <w:sz w:val="20"/>
          <w:szCs w:val="20"/>
          <w:color w:val="auto"/>
        </w:rPr>
      </w:pPr>
      <w:r>
        <w:rPr>
          <w:rFonts w:ascii="Times New Roman" w:cs="Times New Roman" w:eastAsia="Times New Roman" w:hAnsi="Times New Roman"/>
          <w:sz w:val="18"/>
          <w:szCs w:val="18"/>
          <w:i w:val="1"/>
          <w:iCs w:val="1"/>
          <w:color w:val="auto"/>
        </w:rPr>
        <w:t>(in thousands)</w:t>
      </w:r>
    </w:p>
    <w:p>
      <w:pPr>
        <w:spacing w:after="0" w:line="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4"/>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r>
      <w:tr>
        <w:trPr>
          <w:trHeight w:val="223"/>
        </w:trPr>
        <w:tc>
          <w:tcPr>
            <w:tcW w:w="80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8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29"/>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w:t>
            </w:r>
          </w:p>
        </w:tc>
      </w:tr>
      <w:tr>
        <w:trPr>
          <w:trHeight w:val="230"/>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Inventory allowance</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Retirement of rental equipment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30"/>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Gain on the disposition of assets, net</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0"/>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29"/>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30"/>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(Gain) loss on company owned life insurance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29"/>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Trade accounts receivables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29"/>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expenses, income taxes receivable and prepayments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r>
      <w:tr>
        <w:trPr>
          <w:trHeight w:val="229"/>
        </w:trPr>
        <w:tc>
          <w:tcPr>
            <w:tcW w:w="80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2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21,267</w:t>
            </w: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9"/>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Purchase of rental equipment, property and other equipment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(19,256)</w:t>
            </w:r>
          </w:p>
        </w:tc>
      </w:tr>
      <w:tr>
        <w:trPr>
          <w:trHeight w:val="229"/>
        </w:trPr>
        <w:tc>
          <w:tcPr>
            <w:tcW w:w="80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Proceeds from disposition of assets, net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(19,256)</w:t>
            </w: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Proceeds from credit facility borrowings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9"/>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Repayments of credit facility borrowings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30"/>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Payment of dividends</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r>
      <w:tr>
        <w:trPr>
          <w:trHeight w:val="222"/>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r>
      <w:tr>
        <w:trPr>
          <w:trHeight w:val="222"/>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29"/>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paid</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8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r>
      <w:tr>
        <w:trPr>
          <w:trHeight w:val="230"/>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taxes paid, net of refunds received</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TRANSACTIONS: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Transfer of property and equipment to assets held for sale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0740"/>
      </w:cols>
      <w:pgMar w:left="8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43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2026-05-11T15:10:33Z</dcterms:created>
  <dcterms:modified xsi:type="dcterms:W3CDTF">2026-05-11T15:10:33Z</dcterms:modified>
</cp:coreProperties>
</file>